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A2026" w14:textId="77777777" w:rsidR="00AA2F0E" w:rsidRPr="00C14EEC" w:rsidRDefault="00AA2F0E" w:rsidP="00AA2F0E">
      <w:pPr>
        <w:spacing w:before="240" w:after="240"/>
        <w:jc w:val="center"/>
        <w:outlineLvl w:val="0"/>
        <w:rPr>
          <w:rFonts w:ascii="Times New Roman" w:hAnsi="Times New Roman"/>
          <w:b/>
          <w:i/>
          <w:sz w:val="28"/>
          <w:szCs w:val="28"/>
        </w:rPr>
      </w:pPr>
      <w:bookmarkStart w:id="0" w:name="_Toc42488096"/>
      <w:r w:rsidRPr="00C14EEC">
        <w:rPr>
          <w:rFonts w:ascii="Times New Roman" w:hAnsi="Times New Roman"/>
          <w:b/>
          <w:i/>
          <w:sz w:val="28"/>
          <w:szCs w:val="28"/>
        </w:rPr>
        <w:t>SPECIAL CONDITIONS</w:t>
      </w:r>
      <w:bookmarkEnd w:id="0"/>
    </w:p>
    <w:p w14:paraId="304036CF" w14:textId="77777777" w:rsidR="00AA2F0E" w:rsidRPr="00C14EEC" w:rsidRDefault="00AA2F0E" w:rsidP="00AA2F0E">
      <w:pPr>
        <w:spacing w:before="240"/>
        <w:ind w:left="567" w:hanging="567"/>
        <w:outlineLvl w:val="0"/>
        <w:rPr>
          <w:rFonts w:ascii="Times New Roman" w:hAnsi="Times New Roman"/>
          <w:b/>
          <w:sz w:val="28"/>
          <w:szCs w:val="28"/>
        </w:rPr>
      </w:pPr>
      <w:r w:rsidRPr="00C14EEC">
        <w:rPr>
          <w:rFonts w:ascii="Times New Roman" w:hAnsi="Times New Roman"/>
          <w:b/>
          <w:sz w:val="28"/>
          <w:szCs w:val="28"/>
        </w:rPr>
        <w:t>CONTENTS</w:t>
      </w:r>
    </w:p>
    <w:p w14:paraId="2A837758" w14:textId="77777777" w:rsidR="00AA2F0E" w:rsidRPr="00C14EEC" w:rsidRDefault="00AA2F0E" w:rsidP="00AA2F0E">
      <w:pPr>
        <w:jc w:val="both"/>
        <w:rPr>
          <w:rFonts w:ascii="Times New Roman" w:hAnsi="Times New Roman"/>
          <w:sz w:val="22"/>
          <w:szCs w:val="22"/>
        </w:rPr>
      </w:pPr>
      <w:r w:rsidRPr="00C14EEC">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10864423" w14:textId="77777777" w:rsidR="00AA2F0E" w:rsidRPr="00C14EEC" w:rsidRDefault="00AA2F0E" w:rsidP="00AA2F0E">
      <w:pPr>
        <w:spacing w:before="240"/>
        <w:ind w:left="1134" w:hanging="1134"/>
        <w:jc w:val="both"/>
        <w:rPr>
          <w:rFonts w:ascii="Times New Roman" w:hAnsi="Times New Roman"/>
          <w:b/>
          <w:sz w:val="24"/>
          <w:szCs w:val="24"/>
        </w:rPr>
      </w:pPr>
      <w:bookmarkStart w:id="1" w:name="_Toc124934896"/>
      <w:r w:rsidRPr="00C14EEC">
        <w:rPr>
          <w:rFonts w:ascii="Times New Roman" w:hAnsi="Times New Roman"/>
          <w:b/>
          <w:sz w:val="24"/>
          <w:szCs w:val="24"/>
        </w:rPr>
        <w:t>Article 2</w:t>
      </w:r>
      <w:r w:rsidRPr="00C14EEC">
        <w:rPr>
          <w:rFonts w:ascii="Times New Roman" w:hAnsi="Times New Roman"/>
          <w:b/>
          <w:sz w:val="24"/>
          <w:szCs w:val="24"/>
        </w:rPr>
        <w:tab/>
        <w:t>L</w:t>
      </w:r>
      <w:bookmarkEnd w:id="1"/>
      <w:r w:rsidRPr="00C14EEC">
        <w:rPr>
          <w:rFonts w:ascii="Times New Roman" w:hAnsi="Times New Roman"/>
          <w:b/>
          <w:sz w:val="24"/>
          <w:szCs w:val="24"/>
        </w:rPr>
        <w:t>anguage of the contract</w:t>
      </w:r>
    </w:p>
    <w:p w14:paraId="09F0AC0A" w14:textId="77777777" w:rsidR="00AA2F0E" w:rsidRPr="00C14EEC" w:rsidRDefault="00AA2F0E" w:rsidP="00AA2F0E">
      <w:pPr>
        <w:ind w:left="1134" w:hanging="567"/>
        <w:rPr>
          <w:rFonts w:ascii="Times New Roman" w:hAnsi="Times New Roman"/>
          <w:sz w:val="22"/>
          <w:szCs w:val="22"/>
        </w:rPr>
      </w:pPr>
      <w:r w:rsidRPr="00C14EEC">
        <w:rPr>
          <w:rFonts w:ascii="Times New Roman" w:hAnsi="Times New Roman"/>
          <w:sz w:val="22"/>
          <w:szCs w:val="22"/>
        </w:rPr>
        <w:t>2.1</w:t>
      </w:r>
      <w:r w:rsidRPr="00C14EEC">
        <w:rPr>
          <w:rFonts w:ascii="Times New Roman" w:hAnsi="Times New Roman"/>
          <w:sz w:val="22"/>
          <w:szCs w:val="22"/>
        </w:rPr>
        <w:tab/>
        <w:t xml:space="preserve">The language used shall be </w:t>
      </w:r>
      <w:r w:rsidRPr="008E79D0">
        <w:rPr>
          <w:rFonts w:ascii="Times New Roman" w:hAnsi="Times New Roman"/>
          <w:b/>
          <w:sz w:val="22"/>
          <w:szCs w:val="22"/>
        </w:rPr>
        <w:t>English.</w:t>
      </w:r>
    </w:p>
    <w:p w14:paraId="7104AD62" w14:textId="77777777" w:rsidR="00AA2F0E" w:rsidRPr="00C14EEC" w:rsidRDefault="00AA2F0E" w:rsidP="00AA2F0E">
      <w:pPr>
        <w:spacing w:before="240"/>
        <w:ind w:left="1134" w:hanging="1134"/>
        <w:jc w:val="both"/>
        <w:rPr>
          <w:rFonts w:ascii="Times New Roman" w:hAnsi="Times New Roman"/>
          <w:b/>
          <w:sz w:val="24"/>
          <w:szCs w:val="24"/>
        </w:rPr>
      </w:pPr>
      <w:bookmarkStart w:id="2" w:name="_Toc124934897"/>
      <w:r w:rsidRPr="00C14EEC">
        <w:rPr>
          <w:rFonts w:ascii="Times New Roman" w:hAnsi="Times New Roman"/>
          <w:b/>
          <w:sz w:val="24"/>
          <w:szCs w:val="24"/>
        </w:rPr>
        <w:t>Article 4</w:t>
      </w:r>
      <w:r w:rsidRPr="00C14EEC">
        <w:rPr>
          <w:rFonts w:ascii="Times New Roman" w:hAnsi="Times New Roman"/>
          <w:b/>
          <w:sz w:val="24"/>
          <w:szCs w:val="24"/>
        </w:rPr>
        <w:tab/>
        <w:t>Communications</w:t>
      </w:r>
      <w:bookmarkEnd w:id="2"/>
    </w:p>
    <w:p w14:paraId="5B7C79D1" w14:textId="77777777" w:rsidR="00AA2F0E" w:rsidRPr="00C14EEC" w:rsidRDefault="00AA2F0E" w:rsidP="00AA2F0E">
      <w:pPr>
        <w:ind w:left="1134" w:hanging="567"/>
        <w:jc w:val="both"/>
        <w:rPr>
          <w:rFonts w:ascii="Times New Roman" w:hAnsi="Times New Roman"/>
          <w:sz w:val="22"/>
          <w:szCs w:val="22"/>
        </w:rPr>
      </w:pPr>
      <w:r w:rsidRPr="00C14EEC">
        <w:rPr>
          <w:rFonts w:ascii="Times New Roman" w:hAnsi="Times New Roman"/>
          <w:sz w:val="22"/>
          <w:szCs w:val="22"/>
        </w:rPr>
        <w:t>4.1</w:t>
      </w:r>
      <w:r w:rsidRPr="00C14EEC">
        <w:rPr>
          <w:rFonts w:ascii="Times New Roman" w:hAnsi="Times New Roman"/>
          <w:sz w:val="22"/>
          <w:szCs w:val="22"/>
        </w:rPr>
        <w:tab/>
        <w:t>Any written communication relating to this Contract between the Contracting Authority, on the one hand, and the Contractor on the other must state the Contract title and identification number, and must be written in English and sent by post, e-mail or by hand to:</w:t>
      </w:r>
    </w:p>
    <w:p w14:paraId="515A3272" w14:textId="77777777" w:rsidR="00AA2F0E" w:rsidRPr="00C14EEC" w:rsidRDefault="00AA2F0E" w:rsidP="00AA2F0E">
      <w:pPr>
        <w:ind w:left="414" w:firstLine="720"/>
        <w:rPr>
          <w:rFonts w:ascii="Times New Roman" w:hAnsi="Times New Roman"/>
          <w:b/>
          <w:sz w:val="22"/>
          <w:szCs w:val="22"/>
        </w:rPr>
      </w:pPr>
      <w:r w:rsidRPr="00C14EEC">
        <w:rPr>
          <w:rFonts w:ascii="Times New Roman" w:hAnsi="Times New Roman"/>
          <w:b/>
          <w:sz w:val="22"/>
          <w:szCs w:val="22"/>
        </w:rPr>
        <w:t>For the Contracting Authority</w:t>
      </w:r>
    </w:p>
    <w:p w14:paraId="0C4E325C" w14:textId="77777777" w:rsidR="00AA2F0E" w:rsidRPr="00FE4791" w:rsidRDefault="00AA2F0E" w:rsidP="00AA2F0E">
      <w:pPr>
        <w:spacing w:after="0"/>
        <w:ind w:left="567"/>
        <w:rPr>
          <w:rFonts w:ascii="Times New Roman" w:hAnsi="Times New Roman"/>
          <w:b/>
          <w:sz w:val="22"/>
          <w:szCs w:val="22"/>
        </w:rPr>
      </w:pPr>
      <w:r w:rsidRPr="00FE4791">
        <w:rPr>
          <w:rFonts w:ascii="Times New Roman" w:hAnsi="Times New Roman"/>
          <w:b/>
          <w:sz w:val="22"/>
          <w:szCs w:val="22"/>
        </w:rPr>
        <w:tab/>
      </w:r>
      <w:r w:rsidRPr="00FE4791">
        <w:rPr>
          <w:rFonts w:ascii="Times New Roman" w:hAnsi="Times New Roman"/>
          <w:b/>
          <w:sz w:val="22"/>
          <w:szCs w:val="22"/>
        </w:rPr>
        <w:tab/>
        <w:t>Mr. Pius Wakabi</w:t>
      </w:r>
    </w:p>
    <w:p w14:paraId="2EEE98F6" w14:textId="77777777" w:rsidR="00AA2F0E" w:rsidRPr="00FE4791" w:rsidRDefault="00AA2F0E" w:rsidP="00AA2F0E">
      <w:pPr>
        <w:spacing w:after="0"/>
        <w:ind w:left="1134" w:firstLine="306"/>
        <w:rPr>
          <w:rFonts w:ascii="Times New Roman" w:hAnsi="Times New Roman"/>
          <w:b/>
          <w:snapToGrid/>
          <w:sz w:val="22"/>
          <w:szCs w:val="22"/>
          <w:lang w:eastAsia="en-GB"/>
        </w:rPr>
      </w:pPr>
      <w:r w:rsidRPr="00FE4791">
        <w:rPr>
          <w:rFonts w:ascii="Times New Roman" w:hAnsi="Times New Roman"/>
          <w:b/>
          <w:sz w:val="22"/>
          <w:szCs w:val="22"/>
        </w:rPr>
        <w:t>Permanent Secretary – Imprest Administrator</w:t>
      </w:r>
      <w:r w:rsidRPr="00FE4791">
        <w:rPr>
          <w:rFonts w:ascii="Times New Roman" w:hAnsi="Times New Roman"/>
          <w:b/>
          <w:snapToGrid/>
          <w:sz w:val="22"/>
          <w:szCs w:val="22"/>
          <w:lang w:eastAsia="en-GB"/>
        </w:rPr>
        <w:t>.</w:t>
      </w:r>
    </w:p>
    <w:p w14:paraId="126EEF49" w14:textId="77777777" w:rsidR="00AA2F0E" w:rsidRPr="00FE4791" w:rsidRDefault="00AA2F0E" w:rsidP="00AA2F0E">
      <w:pPr>
        <w:spacing w:before="0" w:after="0"/>
        <w:ind w:left="1440"/>
        <w:rPr>
          <w:rFonts w:ascii="Times New Roman" w:hAnsi="Times New Roman"/>
          <w:b/>
          <w:snapToGrid/>
          <w:sz w:val="22"/>
          <w:szCs w:val="22"/>
          <w:lang w:eastAsia="en-GB"/>
        </w:rPr>
      </w:pPr>
      <w:r w:rsidRPr="00FE4791">
        <w:rPr>
          <w:rFonts w:ascii="Times New Roman" w:hAnsi="Times New Roman"/>
          <w:b/>
          <w:snapToGrid/>
          <w:sz w:val="22"/>
          <w:szCs w:val="22"/>
          <w:lang w:eastAsia="en-GB"/>
        </w:rPr>
        <w:t>11</w:t>
      </w:r>
      <w:r w:rsidRPr="00FE4791">
        <w:rPr>
          <w:rFonts w:ascii="Times New Roman" w:hAnsi="Times New Roman"/>
          <w:b/>
          <w:snapToGrid/>
          <w:sz w:val="22"/>
          <w:szCs w:val="22"/>
          <w:vertAlign w:val="superscript"/>
          <w:lang w:eastAsia="en-GB"/>
        </w:rPr>
        <w:t>th</w:t>
      </w:r>
      <w:r w:rsidRPr="00FE4791">
        <w:rPr>
          <w:rFonts w:ascii="Times New Roman" w:hAnsi="Times New Roman"/>
          <w:b/>
          <w:snapToGrid/>
          <w:sz w:val="22"/>
          <w:szCs w:val="22"/>
          <w:lang w:eastAsia="en-GB"/>
        </w:rPr>
        <w:t xml:space="preserve"> EDF Developing a Market – Oriented and Environmentally Sustainable Beef Meat Industry in Uganda (MOBIP)</w:t>
      </w:r>
    </w:p>
    <w:p w14:paraId="44DE75CC" w14:textId="77777777" w:rsidR="00AA2F0E" w:rsidRPr="00FE4791" w:rsidRDefault="00AA2F0E" w:rsidP="00AA2F0E">
      <w:pPr>
        <w:spacing w:before="0" w:after="0"/>
        <w:ind w:left="1287"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Ministry of Agriculture, Animal Industry and Fisheries (MAAIF),</w:t>
      </w:r>
    </w:p>
    <w:p w14:paraId="2559E861" w14:textId="77777777" w:rsidR="00AA2F0E" w:rsidRPr="00FE4791" w:rsidRDefault="00AA2F0E" w:rsidP="00AA2F0E">
      <w:pPr>
        <w:spacing w:before="0" w:after="0"/>
        <w:ind w:left="1134"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 xml:space="preserve">  PO Box 102, Entebbe</w:t>
      </w:r>
    </w:p>
    <w:p w14:paraId="05349FD8" w14:textId="77777777" w:rsidR="00AA2F0E" w:rsidRPr="00FE4791" w:rsidRDefault="00AA2F0E" w:rsidP="00AA2F0E">
      <w:pPr>
        <w:spacing w:before="0" w:after="0"/>
        <w:ind w:left="981"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 xml:space="preserve">     Plot 16-18, Lugard Avenue, Entebbe, Uganda </w:t>
      </w:r>
    </w:p>
    <w:p w14:paraId="4EE4C356" w14:textId="77777777" w:rsidR="00AA2F0E" w:rsidRDefault="00AA2F0E" w:rsidP="00AA2F0E">
      <w:pPr>
        <w:spacing w:before="0" w:after="0"/>
        <w:ind w:left="981" w:firstLine="153"/>
        <w:rPr>
          <w:rFonts w:ascii="Times New Roman" w:hAnsi="Times New Roman"/>
          <w:b/>
          <w:snapToGrid/>
          <w:sz w:val="22"/>
          <w:szCs w:val="22"/>
          <w:lang w:eastAsia="en-GB"/>
        </w:rPr>
      </w:pPr>
      <w:r>
        <w:rPr>
          <w:rFonts w:ascii="Times New Roman" w:hAnsi="Times New Roman"/>
          <w:b/>
          <w:snapToGrid/>
          <w:sz w:val="22"/>
          <w:szCs w:val="22"/>
          <w:lang w:eastAsia="en-GB"/>
        </w:rPr>
        <w:tab/>
      </w:r>
    </w:p>
    <w:p w14:paraId="392697FA" w14:textId="77777777" w:rsidR="00AA2F0E" w:rsidRDefault="00AA2F0E" w:rsidP="00AA2F0E">
      <w:pPr>
        <w:spacing w:before="0" w:after="0"/>
        <w:ind w:left="981" w:firstLine="153"/>
        <w:rPr>
          <w:rFonts w:ascii="Times New Roman" w:hAnsi="Times New Roman"/>
          <w:b/>
          <w:snapToGrid/>
          <w:sz w:val="22"/>
          <w:szCs w:val="22"/>
          <w:lang w:eastAsia="en-GB"/>
        </w:rPr>
      </w:pPr>
    </w:p>
    <w:p w14:paraId="18A13494" w14:textId="1E8B0AA3" w:rsidR="00AA2F0E" w:rsidRPr="00893103" w:rsidRDefault="00AA2F0E" w:rsidP="00AA2F0E">
      <w:pPr>
        <w:spacing w:before="0" w:after="0"/>
        <w:ind w:left="981" w:firstLine="153"/>
        <w:rPr>
          <w:rFonts w:ascii="Times New Roman" w:hAnsi="Times New Roman"/>
          <w:sz w:val="22"/>
          <w:szCs w:val="22"/>
        </w:rPr>
      </w:pPr>
      <w:r w:rsidRPr="00893103">
        <w:rPr>
          <w:rFonts w:ascii="Times New Roman" w:hAnsi="Times New Roman"/>
          <w:sz w:val="22"/>
          <w:szCs w:val="22"/>
        </w:rPr>
        <w:t xml:space="preserve">The deadline for clarifications is </w:t>
      </w:r>
      <w:r w:rsidR="006058F3">
        <w:rPr>
          <w:rFonts w:ascii="Times New Roman" w:hAnsi="Times New Roman"/>
          <w:sz w:val="22"/>
          <w:szCs w:val="22"/>
          <w:highlight w:val="yellow"/>
        </w:rPr>
        <w:t>30</w:t>
      </w:r>
      <w:bookmarkStart w:id="3" w:name="_GoBack"/>
      <w:bookmarkEnd w:id="3"/>
      <w:r w:rsidRPr="00AA2F0E">
        <w:rPr>
          <w:rFonts w:ascii="Times New Roman" w:hAnsi="Times New Roman"/>
          <w:sz w:val="22"/>
          <w:szCs w:val="22"/>
          <w:highlight w:val="yellow"/>
          <w:vertAlign w:val="superscript"/>
        </w:rPr>
        <w:t>st</w:t>
      </w:r>
      <w:r w:rsidRPr="00AA2F0E">
        <w:rPr>
          <w:rFonts w:ascii="Times New Roman" w:hAnsi="Times New Roman"/>
          <w:sz w:val="22"/>
          <w:szCs w:val="22"/>
          <w:highlight w:val="yellow"/>
        </w:rPr>
        <w:t xml:space="preserve"> June 2020</w:t>
      </w:r>
    </w:p>
    <w:p w14:paraId="7B6AD4AC" w14:textId="77777777" w:rsidR="00AA2F0E" w:rsidRPr="00B00B0B" w:rsidRDefault="00AA2F0E" w:rsidP="00AA2F0E">
      <w:pPr>
        <w:spacing w:before="0" w:after="0"/>
        <w:ind w:left="981" w:firstLine="153"/>
        <w:rPr>
          <w:rFonts w:ascii="Times New Roman" w:hAnsi="Times New Roman"/>
          <w:b/>
          <w:snapToGrid/>
          <w:sz w:val="22"/>
          <w:szCs w:val="22"/>
          <w:lang w:eastAsia="en-GB"/>
        </w:rPr>
      </w:pPr>
    </w:p>
    <w:p w14:paraId="4C6DD28E" w14:textId="77777777" w:rsidR="00AA2F0E" w:rsidRPr="00C14EEC" w:rsidRDefault="00AA2F0E" w:rsidP="00AA2F0E">
      <w:pPr>
        <w:ind w:left="1134" w:hanging="567"/>
        <w:jc w:val="both"/>
        <w:rPr>
          <w:rFonts w:ascii="Times New Roman" w:hAnsi="Times New Roman"/>
          <w:sz w:val="22"/>
          <w:szCs w:val="22"/>
        </w:rPr>
      </w:pPr>
      <w:r w:rsidRPr="00C14EEC">
        <w:rPr>
          <w:rFonts w:ascii="Times New Roman" w:hAnsi="Times New Roman"/>
          <w:sz w:val="22"/>
          <w:szCs w:val="22"/>
        </w:rPr>
        <w:t>4.2</w:t>
      </w:r>
      <w:r w:rsidRPr="00C14EEC">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2C336608" w14:textId="77777777" w:rsidR="00AA2F0E" w:rsidRPr="00C14EEC" w:rsidRDefault="00AA2F0E" w:rsidP="00AA2F0E">
      <w:pPr>
        <w:ind w:left="1134" w:hanging="567"/>
        <w:jc w:val="both"/>
        <w:rPr>
          <w:rFonts w:ascii="Times New Roman" w:hAnsi="Times New Roman"/>
          <w:sz w:val="22"/>
          <w:szCs w:val="22"/>
        </w:rPr>
      </w:pPr>
      <w:r w:rsidRPr="00C14EEC">
        <w:rPr>
          <w:rFonts w:ascii="Times New Roman" w:hAnsi="Times New Roman"/>
          <w:sz w:val="22"/>
          <w:szCs w:val="22"/>
        </w:rPr>
        <w:tab/>
        <w:t>The electronic management of the contract through the aforementioned system may commence on the date on which implementation of the contract starts, as described in Article 18 below, or at a later date. In the latter case, the contracting authority will inform the contractor in writing that he will be required to use the electronic system for all communications within a maximum period of 3 months.</w:t>
      </w:r>
    </w:p>
    <w:p w14:paraId="4ADE0F95" w14:textId="77777777" w:rsidR="00AA2F0E" w:rsidRPr="00C14EEC" w:rsidRDefault="00AA2F0E" w:rsidP="00AA2F0E">
      <w:pPr>
        <w:keepNext/>
        <w:spacing w:before="240"/>
        <w:ind w:left="1134" w:hanging="1134"/>
        <w:jc w:val="both"/>
        <w:rPr>
          <w:rFonts w:ascii="Times New Roman" w:hAnsi="Times New Roman"/>
          <w:b/>
          <w:sz w:val="24"/>
          <w:szCs w:val="24"/>
        </w:rPr>
      </w:pPr>
      <w:bookmarkStart w:id="4" w:name="_Toc124934898"/>
      <w:r w:rsidRPr="00C14EEC">
        <w:rPr>
          <w:rFonts w:ascii="Times New Roman" w:hAnsi="Times New Roman"/>
          <w:b/>
          <w:sz w:val="24"/>
          <w:szCs w:val="24"/>
        </w:rPr>
        <w:t>Article 7</w:t>
      </w:r>
      <w:r w:rsidRPr="00C14EEC">
        <w:rPr>
          <w:rFonts w:ascii="Times New Roman" w:hAnsi="Times New Roman"/>
          <w:b/>
          <w:sz w:val="24"/>
          <w:szCs w:val="24"/>
        </w:rPr>
        <w:tab/>
        <w:t>Supply of documents</w:t>
      </w:r>
      <w:bookmarkEnd w:id="4"/>
    </w:p>
    <w:p w14:paraId="44089654" w14:textId="77777777" w:rsidR="00AA2F0E" w:rsidRPr="009F123E" w:rsidRDefault="00AA2F0E" w:rsidP="00AA2F0E">
      <w:pPr>
        <w:spacing w:before="240"/>
        <w:ind w:left="1134"/>
        <w:jc w:val="both"/>
        <w:rPr>
          <w:rFonts w:ascii="Times New Roman" w:hAnsi="Times New Roman"/>
          <w:sz w:val="22"/>
          <w:szCs w:val="22"/>
        </w:rPr>
      </w:pPr>
      <w:r w:rsidRPr="009F123E">
        <w:rPr>
          <w:rFonts w:ascii="Times New Roman" w:hAnsi="Times New Roman"/>
          <w:sz w:val="22"/>
          <w:szCs w:val="22"/>
        </w:rPr>
        <w:t>Catalogues, handbooks, manuals, and any other literature normally supplied to clients in the English Language should be provided at the time of delivery of the supplies.</w:t>
      </w:r>
    </w:p>
    <w:p w14:paraId="187BEE22" w14:textId="77777777" w:rsidR="00AA2F0E" w:rsidRPr="00C14EEC" w:rsidRDefault="00AA2F0E" w:rsidP="00AA2F0E">
      <w:pPr>
        <w:spacing w:before="240"/>
        <w:ind w:left="1134" w:hanging="1134"/>
        <w:jc w:val="both"/>
        <w:rPr>
          <w:rFonts w:ascii="Times New Roman" w:hAnsi="Times New Roman"/>
          <w:b/>
          <w:sz w:val="24"/>
          <w:szCs w:val="24"/>
        </w:rPr>
      </w:pPr>
      <w:bookmarkStart w:id="5" w:name="_Toc124934899"/>
      <w:r w:rsidRPr="00C14EEC">
        <w:rPr>
          <w:rFonts w:ascii="Times New Roman" w:hAnsi="Times New Roman"/>
          <w:b/>
          <w:sz w:val="24"/>
          <w:szCs w:val="24"/>
        </w:rPr>
        <w:t>Article 8</w:t>
      </w:r>
      <w:r w:rsidRPr="00C14EEC">
        <w:rPr>
          <w:rFonts w:ascii="Times New Roman" w:hAnsi="Times New Roman"/>
          <w:b/>
          <w:sz w:val="24"/>
          <w:szCs w:val="24"/>
        </w:rPr>
        <w:tab/>
        <w:t>Assistance with local regulations</w:t>
      </w:r>
      <w:bookmarkEnd w:id="5"/>
    </w:p>
    <w:p w14:paraId="656B4B1E" w14:textId="77777777" w:rsidR="00AA2F0E" w:rsidRPr="008D06CE" w:rsidRDefault="00AA2F0E" w:rsidP="00AA2F0E">
      <w:pPr>
        <w:ind w:left="1170" w:hanging="36"/>
        <w:jc w:val="both"/>
        <w:rPr>
          <w:rFonts w:ascii="Times New Roman" w:hAnsi="Times New Roman"/>
          <w:sz w:val="22"/>
          <w:szCs w:val="22"/>
        </w:rPr>
      </w:pPr>
      <w:r w:rsidRPr="008D06CE">
        <w:t xml:space="preserve"> </w:t>
      </w:r>
      <w:r w:rsidRPr="008D06CE">
        <w:rPr>
          <w:rFonts w:ascii="Times New Roman" w:hAnsi="Times New Roman"/>
          <w:sz w:val="22"/>
          <w:szCs w:val="22"/>
        </w:rPr>
        <w:t>The Contracting Authority shall assist the Contractor to clear the importation of the supplies</w:t>
      </w:r>
      <w:r>
        <w:rPr>
          <w:rFonts w:ascii="Times New Roman" w:hAnsi="Times New Roman"/>
          <w:sz w:val="22"/>
          <w:szCs w:val="22"/>
        </w:rPr>
        <w:t xml:space="preserve"> </w:t>
      </w:r>
      <w:r w:rsidRPr="008D06CE">
        <w:rPr>
          <w:rFonts w:ascii="Times New Roman" w:hAnsi="Times New Roman"/>
          <w:sz w:val="22"/>
          <w:szCs w:val="22"/>
        </w:rPr>
        <w:t xml:space="preserve">as per the Tax and Customs Arrangements (Article 31 from Annex </w:t>
      </w:r>
      <w:r w:rsidRPr="008D06CE">
        <w:rPr>
          <w:rFonts w:ascii="Times New Roman" w:hAnsi="Times New Roman"/>
          <w:sz w:val="22"/>
          <w:szCs w:val="22"/>
        </w:rPr>
        <w:lastRenderedPageBreak/>
        <w:t>IV to the Cotonou</w:t>
      </w:r>
      <w:r>
        <w:rPr>
          <w:rFonts w:ascii="Times New Roman" w:hAnsi="Times New Roman"/>
          <w:sz w:val="22"/>
          <w:szCs w:val="22"/>
        </w:rPr>
        <w:t xml:space="preserve"> </w:t>
      </w:r>
      <w:r w:rsidRPr="008D06CE">
        <w:rPr>
          <w:rFonts w:ascii="Times New Roman" w:hAnsi="Times New Roman"/>
          <w:sz w:val="22"/>
          <w:szCs w:val="22"/>
        </w:rPr>
        <w:t>Agreement), by providing the necessary documents that the Uganda Revenue Authority may</w:t>
      </w:r>
      <w:r>
        <w:rPr>
          <w:rFonts w:ascii="Times New Roman" w:hAnsi="Times New Roman"/>
          <w:sz w:val="22"/>
          <w:szCs w:val="22"/>
        </w:rPr>
        <w:t xml:space="preserve"> </w:t>
      </w:r>
      <w:r w:rsidRPr="008D06CE">
        <w:rPr>
          <w:rFonts w:ascii="Times New Roman" w:hAnsi="Times New Roman"/>
          <w:sz w:val="22"/>
          <w:szCs w:val="22"/>
        </w:rPr>
        <w:t>require.</w:t>
      </w:r>
    </w:p>
    <w:p w14:paraId="602DA3A6" w14:textId="77777777" w:rsidR="00AA2F0E" w:rsidRDefault="00AA2F0E" w:rsidP="00AA2F0E">
      <w:pPr>
        <w:tabs>
          <w:tab w:val="left" w:pos="1134"/>
        </w:tabs>
        <w:jc w:val="both"/>
        <w:rPr>
          <w:rFonts w:ascii="Times New Roman" w:hAnsi="Times New Roman"/>
          <w:b/>
          <w:sz w:val="22"/>
          <w:szCs w:val="22"/>
        </w:rPr>
      </w:pPr>
      <w:r w:rsidRPr="008D06CE">
        <w:rPr>
          <w:rFonts w:ascii="Times New Roman" w:hAnsi="Times New Roman"/>
          <w:sz w:val="22"/>
          <w:szCs w:val="22"/>
        </w:rPr>
        <w:t>Pre-Delivery Inspection shall be undertaken by the manufacturer’s authorised dealers or</w:t>
      </w:r>
      <w:r>
        <w:rPr>
          <w:rFonts w:ascii="Times New Roman" w:hAnsi="Times New Roman"/>
          <w:sz w:val="22"/>
          <w:szCs w:val="22"/>
        </w:rPr>
        <w:t xml:space="preserve"> </w:t>
      </w:r>
      <w:r w:rsidRPr="008D06CE">
        <w:rPr>
          <w:rFonts w:ascii="Times New Roman" w:hAnsi="Times New Roman"/>
          <w:sz w:val="22"/>
          <w:szCs w:val="22"/>
        </w:rPr>
        <w:t>representatives in Uganda. This shall include the provision of all identification marks</w:t>
      </w:r>
      <w:r>
        <w:rPr>
          <w:rFonts w:ascii="Times New Roman" w:hAnsi="Times New Roman"/>
          <w:sz w:val="22"/>
          <w:szCs w:val="22"/>
        </w:rPr>
        <w:t xml:space="preserve"> </w:t>
      </w:r>
      <w:r w:rsidRPr="008D06CE">
        <w:rPr>
          <w:rFonts w:ascii="Times New Roman" w:hAnsi="Times New Roman"/>
          <w:sz w:val="22"/>
          <w:szCs w:val="22"/>
        </w:rPr>
        <w:t>required under the laws of the Republic of Uganda</w:t>
      </w:r>
      <w:r w:rsidRPr="00C14EEC">
        <w:rPr>
          <w:rFonts w:ascii="Times New Roman" w:hAnsi="Times New Roman"/>
          <w:b/>
          <w:sz w:val="22"/>
          <w:szCs w:val="22"/>
        </w:rPr>
        <w:t xml:space="preserve"> </w:t>
      </w:r>
    </w:p>
    <w:p w14:paraId="51EC0AC5" w14:textId="77777777" w:rsidR="00AA2F0E" w:rsidRPr="00C14EEC" w:rsidRDefault="00AA2F0E" w:rsidP="00AA2F0E">
      <w:pPr>
        <w:tabs>
          <w:tab w:val="left" w:pos="1134"/>
        </w:tabs>
        <w:jc w:val="both"/>
        <w:rPr>
          <w:rFonts w:ascii="Times New Roman" w:hAnsi="Times New Roman"/>
          <w:b/>
          <w:sz w:val="22"/>
          <w:szCs w:val="22"/>
        </w:rPr>
      </w:pPr>
      <w:r w:rsidRPr="00C14EEC">
        <w:rPr>
          <w:rFonts w:ascii="Times New Roman" w:hAnsi="Times New Roman"/>
          <w:b/>
          <w:sz w:val="22"/>
          <w:szCs w:val="22"/>
        </w:rPr>
        <w:t>Article 9</w:t>
      </w:r>
      <w:r w:rsidRPr="00C14EEC">
        <w:rPr>
          <w:rFonts w:ascii="Times New Roman" w:hAnsi="Times New Roman"/>
          <w:b/>
          <w:sz w:val="22"/>
          <w:szCs w:val="22"/>
        </w:rPr>
        <w:tab/>
        <w:t>General obligations</w:t>
      </w:r>
    </w:p>
    <w:p w14:paraId="6765FDE2" w14:textId="77777777" w:rsidR="00AA2F0E" w:rsidRDefault="00AA2F0E" w:rsidP="00AA2F0E">
      <w:pPr>
        <w:tabs>
          <w:tab w:val="left" w:pos="426"/>
        </w:tabs>
        <w:ind w:left="1134" w:right="-285" w:hanging="708"/>
        <w:rPr>
          <w:rFonts w:ascii="Times New Roman" w:hAnsi="Times New Roman"/>
          <w:sz w:val="22"/>
          <w:szCs w:val="22"/>
        </w:rPr>
      </w:pPr>
      <w:r w:rsidRPr="00C14EEC">
        <w:rPr>
          <w:rFonts w:ascii="Times New Roman" w:hAnsi="Times New Roman"/>
          <w:sz w:val="22"/>
          <w:szCs w:val="22"/>
        </w:rPr>
        <w:t>9.1</w:t>
      </w:r>
      <w:r w:rsidRPr="00C14EEC">
        <w:rPr>
          <w:rFonts w:ascii="Times New Roman" w:hAnsi="Times New Roman"/>
          <w:sz w:val="22"/>
          <w:szCs w:val="22"/>
        </w:rPr>
        <w:tab/>
        <w:t xml:space="preserve"> </w:t>
      </w:r>
      <w:r w:rsidRPr="008D06CE">
        <w:rPr>
          <w:rFonts w:ascii="Times New Roman" w:hAnsi="Times New Roman"/>
          <w:sz w:val="22"/>
          <w:szCs w:val="22"/>
        </w:rPr>
        <w:t>The equipment delivered should be clearly identified and should feature</w:t>
      </w:r>
      <w:r>
        <w:rPr>
          <w:rFonts w:ascii="Times New Roman" w:hAnsi="Times New Roman"/>
          <w:sz w:val="22"/>
          <w:szCs w:val="22"/>
        </w:rPr>
        <w:t xml:space="preserve"> </w:t>
      </w:r>
      <w:r w:rsidRPr="008D06CE">
        <w:rPr>
          <w:rFonts w:ascii="Times New Roman" w:hAnsi="Times New Roman"/>
          <w:sz w:val="22"/>
          <w:szCs w:val="22"/>
        </w:rPr>
        <w:t>prominently the European Union flag and the mention “Provided with the support</w:t>
      </w:r>
      <w:r>
        <w:rPr>
          <w:rFonts w:ascii="Times New Roman" w:hAnsi="Times New Roman"/>
          <w:sz w:val="22"/>
          <w:szCs w:val="22"/>
        </w:rPr>
        <w:t xml:space="preserve"> </w:t>
      </w:r>
      <w:r w:rsidRPr="008D06CE">
        <w:rPr>
          <w:rFonts w:ascii="Times New Roman" w:hAnsi="Times New Roman"/>
          <w:sz w:val="22"/>
          <w:szCs w:val="22"/>
        </w:rPr>
        <w:t>of the European Union” in English, and in compliance with the rules laid down in</w:t>
      </w:r>
      <w:r>
        <w:rPr>
          <w:rFonts w:ascii="Times New Roman" w:hAnsi="Times New Roman"/>
          <w:sz w:val="22"/>
          <w:szCs w:val="22"/>
        </w:rPr>
        <w:t xml:space="preserve"> </w:t>
      </w:r>
      <w:r w:rsidRPr="008D06CE">
        <w:rPr>
          <w:rFonts w:ascii="Times New Roman" w:hAnsi="Times New Roman"/>
          <w:sz w:val="22"/>
          <w:szCs w:val="22"/>
        </w:rPr>
        <w:t>the Communication and Visibility Manual for EU External Actions published on</w:t>
      </w:r>
      <w:r>
        <w:rPr>
          <w:rFonts w:ascii="Times New Roman" w:hAnsi="Times New Roman"/>
          <w:sz w:val="22"/>
          <w:szCs w:val="22"/>
        </w:rPr>
        <w:t xml:space="preserve"> </w:t>
      </w:r>
      <w:r w:rsidRPr="008D06CE">
        <w:rPr>
          <w:rFonts w:ascii="Times New Roman" w:hAnsi="Times New Roman"/>
          <w:sz w:val="22"/>
          <w:szCs w:val="22"/>
        </w:rPr>
        <w:t>the website of DG International Cooperation and Development:</w:t>
      </w:r>
    </w:p>
    <w:p w14:paraId="4EC9AA88" w14:textId="77777777" w:rsidR="00AA2F0E" w:rsidRDefault="0004651C" w:rsidP="00AA2F0E">
      <w:pPr>
        <w:tabs>
          <w:tab w:val="left" w:pos="426"/>
        </w:tabs>
        <w:ind w:left="1134" w:right="-285" w:hanging="708"/>
        <w:rPr>
          <w:rFonts w:ascii="Times New Roman" w:hAnsi="Times New Roman"/>
          <w:sz w:val="22"/>
          <w:szCs w:val="22"/>
        </w:rPr>
      </w:pPr>
      <w:hyperlink r:id="rId8" w:history="1">
        <w:r w:rsidR="00AA2F0E" w:rsidRPr="0029780E">
          <w:rPr>
            <w:rStyle w:val="Hyperlink"/>
            <w:rFonts w:ascii="Times New Roman" w:hAnsi="Times New Roman"/>
            <w:sz w:val="22"/>
            <w:szCs w:val="22"/>
          </w:rPr>
          <w:t>https://ec.europa.eu/europeaid/funding/communication-and-visibility-manual-euexternal-actions_en</w:t>
        </w:r>
      </w:hyperlink>
      <w:r w:rsidR="00AA2F0E" w:rsidRPr="008D06CE">
        <w:rPr>
          <w:rFonts w:ascii="Times New Roman" w:hAnsi="Times New Roman"/>
          <w:sz w:val="22"/>
          <w:szCs w:val="22"/>
        </w:rPr>
        <w:t>.</w:t>
      </w:r>
    </w:p>
    <w:p w14:paraId="299FFEAC" w14:textId="77777777" w:rsidR="00AA2F0E" w:rsidRPr="00C14EEC" w:rsidRDefault="00AA2F0E" w:rsidP="00AA2F0E">
      <w:pPr>
        <w:keepNext/>
        <w:spacing w:before="240"/>
        <w:ind w:left="1134" w:hanging="1134"/>
        <w:jc w:val="both"/>
        <w:rPr>
          <w:rFonts w:ascii="Times New Roman" w:hAnsi="Times New Roman"/>
          <w:b/>
          <w:sz w:val="24"/>
          <w:szCs w:val="24"/>
        </w:rPr>
      </w:pPr>
      <w:bookmarkStart w:id="6" w:name="_Toc124934900"/>
      <w:r w:rsidRPr="00C14EEC">
        <w:rPr>
          <w:rFonts w:ascii="Times New Roman" w:hAnsi="Times New Roman"/>
          <w:b/>
          <w:sz w:val="24"/>
          <w:szCs w:val="24"/>
        </w:rPr>
        <w:t>Article 10</w:t>
      </w:r>
      <w:r w:rsidRPr="00C14EEC">
        <w:rPr>
          <w:rFonts w:ascii="Times New Roman" w:hAnsi="Times New Roman"/>
          <w:b/>
          <w:sz w:val="24"/>
          <w:szCs w:val="24"/>
        </w:rPr>
        <w:tab/>
        <w:t>Origin</w:t>
      </w:r>
      <w:bookmarkEnd w:id="6"/>
    </w:p>
    <w:p w14:paraId="79F9C919" w14:textId="77777777" w:rsidR="00AA2F0E" w:rsidRPr="00C14EEC" w:rsidRDefault="00AA2F0E" w:rsidP="00AA2F0E">
      <w:pPr>
        <w:numPr>
          <w:ilvl w:val="1"/>
          <w:numId w:val="0"/>
        </w:numPr>
        <w:ind w:left="1134" w:hanging="708"/>
        <w:jc w:val="both"/>
        <w:outlineLvl w:val="1"/>
        <w:rPr>
          <w:rFonts w:ascii="Times New Roman" w:hAnsi="Times New Roman"/>
          <w:sz w:val="22"/>
          <w:szCs w:val="22"/>
        </w:rPr>
      </w:pPr>
      <w:r w:rsidRPr="00C14EEC">
        <w:rPr>
          <w:rFonts w:ascii="Times New Roman" w:hAnsi="Times New Roman"/>
          <w:sz w:val="22"/>
          <w:szCs w:val="22"/>
        </w:rPr>
        <w:t>10.1</w:t>
      </w:r>
      <w:r w:rsidRPr="00C14EEC">
        <w:rPr>
          <w:rFonts w:ascii="Times New Roman" w:hAnsi="Times New Roman"/>
          <w:sz w:val="22"/>
          <w:szCs w:val="22"/>
        </w:rPr>
        <w:tab/>
        <w:t>All goods purchased must originate in a Member State of the European Union or a country covered by the European Development Fund. For these purposes, ‘origin’ means the place where the goods are mined, grown, produced or manufactured and/or from which services are provided. The origin of the goods must be determined according to the EU Customs Code or to the relevant international agreement applicable.</w:t>
      </w:r>
    </w:p>
    <w:p w14:paraId="7EA4C242" w14:textId="77777777" w:rsidR="00AA2F0E" w:rsidRDefault="00AA2F0E" w:rsidP="00AA2F0E">
      <w:pPr>
        <w:numPr>
          <w:ilvl w:val="1"/>
          <w:numId w:val="0"/>
        </w:numPr>
        <w:ind w:left="1134"/>
        <w:jc w:val="both"/>
        <w:outlineLvl w:val="1"/>
        <w:rPr>
          <w:rFonts w:ascii="Times New Roman" w:hAnsi="Times New Roman"/>
          <w:sz w:val="22"/>
          <w:szCs w:val="22"/>
        </w:rPr>
      </w:pPr>
      <w:r w:rsidRPr="00C14EEC">
        <w:rPr>
          <w:rFonts w:ascii="Times New Roman" w:hAnsi="Times New Roman"/>
          <w:sz w:val="22"/>
          <w:szCs w:val="22"/>
        </w:rPr>
        <w:t>Goods originating in the EU includes goods originating in the Overseas Countries and Territories.</w:t>
      </w:r>
    </w:p>
    <w:p w14:paraId="11BD59B0" w14:textId="77777777" w:rsidR="00AA2F0E" w:rsidRPr="00C14EEC" w:rsidRDefault="00AA2F0E" w:rsidP="00AA2F0E">
      <w:pPr>
        <w:numPr>
          <w:ilvl w:val="1"/>
          <w:numId w:val="0"/>
        </w:numPr>
        <w:ind w:left="1134"/>
        <w:jc w:val="both"/>
        <w:outlineLvl w:val="1"/>
        <w:rPr>
          <w:rFonts w:ascii="Times New Roman" w:hAnsi="Times New Roman"/>
          <w:sz w:val="22"/>
          <w:szCs w:val="22"/>
        </w:rPr>
      </w:pPr>
      <w:r w:rsidRPr="000F74BD">
        <w:rPr>
          <w:rFonts w:ascii="Times New Roman" w:hAnsi="Times New Roman"/>
          <w:sz w:val="22"/>
          <w:szCs w:val="22"/>
        </w:rPr>
        <w:t>However, goods can originate from any origin (full untying) if their value is</w:t>
      </w:r>
      <w:r>
        <w:rPr>
          <w:rFonts w:ascii="Times New Roman" w:hAnsi="Times New Roman"/>
          <w:sz w:val="22"/>
          <w:szCs w:val="22"/>
        </w:rPr>
        <w:t xml:space="preserve"> </w:t>
      </w:r>
      <w:r w:rsidRPr="000F74BD">
        <w:rPr>
          <w:rFonts w:ascii="Times New Roman" w:hAnsi="Times New Roman"/>
          <w:sz w:val="22"/>
          <w:szCs w:val="22"/>
        </w:rPr>
        <w:t xml:space="preserve">below the threshold of the simplified procedure for supply contracts </w:t>
      </w:r>
      <w:r>
        <w:rPr>
          <w:rFonts w:ascii="Times New Roman" w:hAnsi="Times New Roman"/>
          <w:sz w:val="22"/>
          <w:szCs w:val="22"/>
        </w:rPr>
        <w:t>–</w:t>
      </w:r>
      <w:r w:rsidRPr="000F74BD">
        <w:rPr>
          <w:rFonts w:ascii="Times New Roman" w:hAnsi="Times New Roman"/>
          <w:sz w:val="22"/>
          <w:szCs w:val="22"/>
        </w:rPr>
        <w:t xml:space="preserve"> EUR</w:t>
      </w:r>
      <w:r>
        <w:rPr>
          <w:rFonts w:ascii="Times New Roman" w:hAnsi="Times New Roman"/>
          <w:sz w:val="22"/>
          <w:szCs w:val="22"/>
        </w:rPr>
        <w:t xml:space="preserve"> </w:t>
      </w:r>
      <w:r w:rsidRPr="000F74BD">
        <w:rPr>
          <w:rFonts w:ascii="Times New Roman" w:hAnsi="Times New Roman"/>
          <w:sz w:val="22"/>
          <w:szCs w:val="22"/>
        </w:rPr>
        <w:t>100,000</w:t>
      </w:r>
      <w:r w:rsidRPr="00D335D9">
        <w:rPr>
          <w:rFonts w:ascii="Times New Roman" w:hAnsi="Times New Roman"/>
          <w:sz w:val="22"/>
          <w:szCs w:val="22"/>
          <w:vertAlign w:val="superscript"/>
        </w:rPr>
        <w:t>1</w:t>
      </w:r>
      <w:r w:rsidRPr="000F74BD">
        <w:rPr>
          <w:rFonts w:ascii="Times New Roman" w:hAnsi="Times New Roman"/>
          <w:sz w:val="22"/>
          <w:szCs w:val="22"/>
        </w:rPr>
        <w:t>.</w:t>
      </w:r>
    </w:p>
    <w:p w14:paraId="28266438" w14:textId="77777777" w:rsidR="00AA2F0E" w:rsidRPr="00C14EEC" w:rsidRDefault="00AA2F0E" w:rsidP="00AA2F0E">
      <w:pPr>
        <w:spacing w:before="240"/>
        <w:ind w:left="1134" w:hanging="1134"/>
        <w:jc w:val="both"/>
        <w:rPr>
          <w:rFonts w:ascii="Times New Roman" w:hAnsi="Times New Roman"/>
          <w:b/>
          <w:sz w:val="24"/>
          <w:szCs w:val="24"/>
        </w:rPr>
      </w:pPr>
      <w:bookmarkStart w:id="7" w:name="_Toc124934901"/>
      <w:r w:rsidRPr="00C14EEC">
        <w:rPr>
          <w:rFonts w:ascii="Times New Roman" w:hAnsi="Times New Roman"/>
          <w:b/>
          <w:sz w:val="24"/>
          <w:szCs w:val="24"/>
        </w:rPr>
        <w:t>Article 11</w:t>
      </w:r>
      <w:r w:rsidRPr="00C14EEC">
        <w:rPr>
          <w:rFonts w:ascii="Times New Roman" w:hAnsi="Times New Roman"/>
          <w:b/>
          <w:sz w:val="24"/>
          <w:szCs w:val="24"/>
        </w:rPr>
        <w:tab/>
        <w:t>Performance guarantee</w:t>
      </w:r>
      <w:bookmarkEnd w:id="7"/>
    </w:p>
    <w:p w14:paraId="63DF836C" w14:textId="77777777" w:rsidR="00AA2F0E" w:rsidRPr="00C14EEC" w:rsidRDefault="00AA2F0E" w:rsidP="00AA2F0E">
      <w:pPr>
        <w:ind w:left="1134" w:hanging="709"/>
        <w:jc w:val="both"/>
        <w:rPr>
          <w:rFonts w:ascii="Times New Roman" w:hAnsi="Times New Roman"/>
          <w:sz w:val="22"/>
          <w:szCs w:val="22"/>
        </w:rPr>
      </w:pPr>
      <w:r w:rsidRPr="00C14EEC">
        <w:rPr>
          <w:rFonts w:ascii="Times New Roman" w:hAnsi="Times New Roman"/>
          <w:sz w:val="22"/>
          <w:szCs w:val="22"/>
        </w:rPr>
        <w:t>11.1</w:t>
      </w:r>
      <w:r w:rsidRPr="00C14EEC">
        <w:rPr>
          <w:rFonts w:ascii="Times New Roman" w:hAnsi="Times New Roman"/>
          <w:sz w:val="22"/>
          <w:szCs w:val="22"/>
        </w:rPr>
        <w:tab/>
        <w:t>No performance guarantee is required.</w:t>
      </w:r>
    </w:p>
    <w:p w14:paraId="10C1A03A" w14:textId="77777777" w:rsidR="00AA2F0E" w:rsidRPr="00C14EEC" w:rsidRDefault="00AA2F0E" w:rsidP="00AA2F0E">
      <w:pPr>
        <w:spacing w:before="240"/>
        <w:ind w:left="1134" w:hanging="1134"/>
        <w:jc w:val="both"/>
        <w:rPr>
          <w:rFonts w:ascii="Times New Roman" w:hAnsi="Times New Roman"/>
          <w:b/>
          <w:sz w:val="24"/>
          <w:szCs w:val="24"/>
        </w:rPr>
      </w:pPr>
      <w:bookmarkStart w:id="8" w:name="_Toc124934902"/>
      <w:r w:rsidRPr="00C14EEC">
        <w:rPr>
          <w:rFonts w:ascii="Times New Roman" w:hAnsi="Times New Roman"/>
          <w:b/>
          <w:sz w:val="24"/>
          <w:szCs w:val="24"/>
        </w:rPr>
        <w:t>Article 12</w:t>
      </w:r>
      <w:r w:rsidRPr="00C14EEC">
        <w:rPr>
          <w:rFonts w:ascii="Times New Roman" w:hAnsi="Times New Roman"/>
          <w:b/>
          <w:sz w:val="24"/>
          <w:szCs w:val="24"/>
        </w:rPr>
        <w:tab/>
        <w:t>Liabilities and insurance</w:t>
      </w:r>
      <w:bookmarkEnd w:id="8"/>
    </w:p>
    <w:p w14:paraId="6F2C8A50" w14:textId="77777777" w:rsidR="00AA2F0E" w:rsidRPr="00C14EEC" w:rsidRDefault="00AA2F0E" w:rsidP="00AA2F0E">
      <w:pPr>
        <w:ind w:left="1843" w:hanging="1843"/>
        <w:jc w:val="both"/>
        <w:rPr>
          <w:rFonts w:ascii="Times New Roman" w:hAnsi="Times New Roman"/>
          <w:color w:val="222222"/>
          <w:sz w:val="22"/>
          <w:szCs w:val="22"/>
          <w:lang w:val="en"/>
        </w:rPr>
      </w:pPr>
      <w:r w:rsidRPr="00C14EEC">
        <w:rPr>
          <w:rFonts w:ascii="Times New Roman" w:hAnsi="Times New Roman"/>
          <w:sz w:val="22"/>
          <w:szCs w:val="22"/>
        </w:rPr>
        <w:t>12.2(b),</w:t>
      </w:r>
      <w:r w:rsidRPr="00C14EEC">
        <w:rPr>
          <w:rFonts w:ascii="Times New Roman" w:hAnsi="Times New Roman"/>
          <w:sz w:val="22"/>
          <w:szCs w:val="22"/>
        </w:rPr>
        <w:tab/>
        <w:t xml:space="preserve">The contractor shall </w:t>
      </w:r>
      <w:r>
        <w:rPr>
          <w:rFonts w:ascii="Times New Roman" w:hAnsi="Times New Roman"/>
          <w:sz w:val="22"/>
          <w:szCs w:val="22"/>
        </w:rPr>
        <w:t xml:space="preserve">ensure that the goods are insured up to the point of delivery (place of acceptance) </w:t>
      </w:r>
      <w:r w:rsidRPr="00C14EEC">
        <w:rPr>
          <w:rFonts w:ascii="Times New Roman" w:hAnsi="Times New Roman"/>
          <w:sz w:val="22"/>
          <w:szCs w:val="22"/>
        </w:rPr>
        <w:t>In</w:t>
      </w:r>
      <w:r w:rsidRPr="00C14EEC">
        <w:rPr>
          <w:rFonts w:ascii="Times New Roman" w:hAnsi="Times New Roman"/>
          <w:color w:val="222222"/>
          <w:sz w:val="22"/>
          <w:szCs w:val="22"/>
          <w:lang w:val="en"/>
        </w:rPr>
        <w:t xml:space="preserve"> the case of use of Incoterms, the contractor shall provide transport insurance to the extent that it assumes transportation risks. The question of the extent of the risks assumed by the contractor (seller) depends in particular on the Incoterms used:</w:t>
      </w:r>
      <w:r>
        <w:rPr>
          <w:rFonts w:ascii="Times New Roman" w:hAnsi="Times New Roman"/>
          <w:color w:val="222222"/>
          <w:sz w:val="22"/>
          <w:szCs w:val="22"/>
          <w:lang w:val="en"/>
        </w:rPr>
        <w:t xml:space="preserve"> The IncOterm applicable shall be DDP</w:t>
      </w:r>
    </w:p>
    <w:p w14:paraId="1AC31693" w14:textId="77777777" w:rsidR="00AA2F0E" w:rsidRPr="00C14EEC" w:rsidRDefault="00AA2F0E" w:rsidP="00AA2F0E">
      <w:pPr>
        <w:numPr>
          <w:ilvl w:val="0"/>
          <w:numId w:val="22"/>
        </w:numPr>
        <w:autoSpaceDE w:val="0"/>
        <w:autoSpaceDN w:val="0"/>
        <w:adjustRightInd w:val="0"/>
        <w:spacing w:before="0" w:after="0"/>
        <w:ind w:left="2268"/>
        <w:jc w:val="both"/>
        <w:rPr>
          <w:rFonts w:ascii="Times New Roman" w:hAnsi="Times New Roman"/>
          <w:snapToGrid/>
          <w:color w:val="000000"/>
          <w:sz w:val="22"/>
          <w:szCs w:val="22"/>
          <w:lang w:eastAsia="en-GB"/>
        </w:rPr>
      </w:pPr>
      <w:r w:rsidRPr="00C14EEC">
        <w:rPr>
          <w:rFonts w:ascii="Times New Roman" w:hAnsi="Times New Roman"/>
          <w:b/>
          <w:i/>
          <w:iCs/>
          <w:snapToGrid/>
          <w:color w:val="000000"/>
          <w:sz w:val="22"/>
          <w:szCs w:val="22"/>
          <w:lang w:eastAsia="en-GB"/>
        </w:rPr>
        <w:t>DDP - Delivered Duty Paid</w:t>
      </w:r>
      <w:r w:rsidRPr="00C14EEC">
        <w:rPr>
          <w:rFonts w:ascii="Times New Roman" w:hAnsi="Times New Roman"/>
          <w:i/>
          <w:iCs/>
          <w:snapToGrid/>
          <w:color w:val="000000"/>
          <w:sz w:val="22"/>
          <w:szCs w:val="22"/>
          <w:lang w:eastAsia="en-GB"/>
        </w:rPr>
        <w:t xml:space="preserve">: </w:t>
      </w:r>
      <w:r w:rsidRPr="00C14EEC">
        <w:rPr>
          <w:rFonts w:ascii="Times New Roman" w:hAnsi="Times New Roman"/>
          <w:snapToGrid/>
          <w:color w:val="222222"/>
          <w:sz w:val="22"/>
          <w:szCs w:val="22"/>
          <w:lang w:val="en" w:eastAsia="en-GB"/>
        </w:rPr>
        <w:t>Incoterm which imposes on the seller maximum obligations vis-à-vis transportation and loss risks and damage associated with the goods:</w:t>
      </w:r>
    </w:p>
    <w:p w14:paraId="4945D474" w14:textId="77777777" w:rsidR="00AA2F0E" w:rsidRPr="009F123E" w:rsidRDefault="00AA2F0E" w:rsidP="00AA2F0E">
      <w:pPr>
        <w:spacing w:before="240"/>
        <w:ind w:left="1134"/>
        <w:jc w:val="both"/>
        <w:rPr>
          <w:rFonts w:ascii="Times New Roman" w:hAnsi="Times New Roman"/>
          <w:b/>
          <w:sz w:val="24"/>
          <w:szCs w:val="24"/>
        </w:rPr>
      </w:pPr>
      <w:r w:rsidRPr="009F123E">
        <w:rPr>
          <w:rFonts w:ascii="Times New Roman" w:hAnsi="Times New Roman"/>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9F123E">
        <w:rPr>
          <w:rFonts w:ascii="Times New Roman" w:hAnsi="Times New Roman"/>
          <w:i/>
          <w:iCs/>
          <w:sz w:val="22"/>
          <w:szCs w:val="22"/>
          <w:vertAlign w:val="superscript"/>
        </w:rPr>
        <w:footnoteReference w:id="1"/>
      </w:r>
      <w:r w:rsidRPr="009F123E">
        <w:rPr>
          <w:rFonts w:ascii="Times New Roman" w:hAnsi="Times New Roman"/>
          <w:i/>
          <w:iCs/>
          <w:sz w:val="22"/>
          <w:szCs w:val="22"/>
        </w:rPr>
        <w:t xml:space="preserve"> </w:t>
      </w:r>
      <w:r w:rsidRPr="009F123E">
        <w:rPr>
          <w:rFonts w:ascii="Times New Roman" w:hAnsi="Times New Roman"/>
          <w:color w:val="222222"/>
          <w:sz w:val="22"/>
          <w:szCs w:val="22"/>
          <w:lang w:val="en"/>
        </w:rPr>
        <w:t xml:space="preserve">The transfer of risks and </w:t>
      </w:r>
      <w:r w:rsidRPr="009F123E">
        <w:rPr>
          <w:rFonts w:ascii="Times New Roman" w:hAnsi="Times New Roman"/>
          <w:color w:val="222222"/>
          <w:sz w:val="22"/>
          <w:szCs w:val="22"/>
          <w:lang w:val="en"/>
        </w:rPr>
        <w:lastRenderedPageBreak/>
        <w:t>costs occurs at the place of unloading of the goods at the agreed place of destination.</w:t>
      </w:r>
      <w:bookmarkStart w:id="9" w:name="_Toc124934903"/>
      <w:r w:rsidRPr="009F123E">
        <w:rPr>
          <w:rFonts w:ascii="Times New Roman" w:hAnsi="Times New Roman"/>
          <w:b/>
          <w:sz w:val="24"/>
          <w:szCs w:val="24"/>
        </w:rPr>
        <w:t xml:space="preserve"> </w:t>
      </w:r>
    </w:p>
    <w:p w14:paraId="16F431D2" w14:textId="77777777" w:rsidR="00AA2F0E" w:rsidRPr="00C14EEC" w:rsidRDefault="00AA2F0E" w:rsidP="00AA2F0E">
      <w:pPr>
        <w:keepNext/>
        <w:spacing w:before="240"/>
        <w:ind w:left="1134" w:hanging="1134"/>
        <w:jc w:val="both"/>
        <w:rPr>
          <w:rFonts w:ascii="Times New Roman" w:hAnsi="Times New Roman"/>
          <w:b/>
          <w:sz w:val="24"/>
          <w:szCs w:val="24"/>
        </w:rPr>
      </w:pPr>
      <w:r w:rsidRPr="00C14EEC">
        <w:rPr>
          <w:rFonts w:ascii="Times New Roman" w:hAnsi="Times New Roman"/>
          <w:b/>
          <w:sz w:val="24"/>
          <w:szCs w:val="24"/>
        </w:rPr>
        <w:t>Article 13</w:t>
      </w:r>
      <w:r w:rsidRPr="00C14EEC">
        <w:rPr>
          <w:rFonts w:ascii="Times New Roman" w:hAnsi="Times New Roman"/>
          <w:b/>
          <w:sz w:val="24"/>
          <w:szCs w:val="24"/>
        </w:rPr>
        <w:tab/>
      </w:r>
      <w:bookmarkEnd w:id="9"/>
      <w:r w:rsidRPr="00C14EEC">
        <w:rPr>
          <w:rFonts w:ascii="Times New Roman" w:hAnsi="Times New Roman"/>
          <w:b/>
          <w:sz w:val="24"/>
          <w:szCs w:val="24"/>
        </w:rPr>
        <w:t>Programme of implementation of tasks</w:t>
      </w:r>
    </w:p>
    <w:p w14:paraId="31280A4D" w14:textId="77777777" w:rsidR="00AA2F0E" w:rsidRPr="009F123E" w:rsidRDefault="00AA2F0E" w:rsidP="00AA2F0E">
      <w:pPr>
        <w:ind w:left="993" w:hanging="567"/>
        <w:jc w:val="both"/>
        <w:rPr>
          <w:rFonts w:ascii="Times New Roman" w:hAnsi="Times New Roman"/>
          <w:sz w:val="22"/>
          <w:szCs w:val="22"/>
        </w:rPr>
      </w:pPr>
      <w:r w:rsidRPr="009F123E">
        <w:rPr>
          <w:rFonts w:ascii="Times New Roman" w:hAnsi="Times New Roman"/>
          <w:sz w:val="22"/>
          <w:szCs w:val="22"/>
        </w:rPr>
        <w:t>13.2</w:t>
      </w:r>
      <w:r w:rsidRPr="009F123E">
        <w:rPr>
          <w:rFonts w:ascii="Times New Roman" w:hAnsi="Times New Roman"/>
          <w:sz w:val="22"/>
          <w:szCs w:val="22"/>
        </w:rPr>
        <w:tab/>
        <w:t>The supplies must be delivered and tested at the delivery address within 60 calendar days from the date of signature of contract by the last party.</w:t>
      </w:r>
    </w:p>
    <w:p w14:paraId="681FEA9C" w14:textId="77777777" w:rsidR="00AA2F0E" w:rsidRPr="009F123E" w:rsidRDefault="00AA2F0E" w:rsidP="00AA2F0E">
      <w:pPr>
        <w:ind w:left="993"/>
        <w:jc w:val="both"/>
        <w:rPr>
          <w:rFonts w:ascii="Times New Roman" w:hAnsi="Times New Roman"/>
          <w:sz w:val="22"/>
          <w:szCs w:val="22"/>
        </w:rPr>
      </w:pPr>
      <w:r w:rsidRPr="009F123E">
        <w:rPr>
          <w:rFonts w:ascii="Times New Roman" w:hAnsi="Times New Roman"/>
          <w:sz w:val="22"/>
          <w:szCs w:val="22"/>
        </w:rPr>
        <w:t>The contractor is required to submit all tax and customs documentation to the contracting authority within 7 days after signing the contract for payment of all duties and taxes. The records for taxes should be written in the names of Ministry of Agriculture, Animal Industry and Fisheries.</w:t>
      </w:r>
    </w:p>
    <w:p w14:paraId="2B785D2E" w14:textId="77777777" w:rsidR="00AA2F0E" w:rsidRPr="009F123E" w:rsidRDefault="00AA2F0E" w:rsidP="00AA2F0E">
      <w:pPr>
        <w:ind w:left="1134" w:hanging="709"/>
        <w:jc w:val="both"/>
        <w:rPr>
          <w:rFonts w:ascii="Times New Roman" w:hAnsi="Times New Roman"/>
          <w:b/>
          <w:sz w:val="22"/>
          <w:szCs w:val="22"/>
        </w:rPr>
      </w:pPr>
      <w:r w:rsidRPr="009F123E">
        <w:rPr>
          <w:rFonts w:ascii="Times New Roman" w:hAnsi="Times New Roman"/>
          <w:sz w:val="22"/>
          <w:szCs w:val="22"/>
        </w:rPr>
        <w:t xml:space="preserve">The contractor shall be required to process the number plates from the Ministry of Works within 7 days following receipt of records justifying payment of duties and taxes by the Ministry of Agriculture, Animal Industry and Fisheries </w:t>
      </w:r>
    </w:p>
    <w:p w14:paraId="439B86E0" w14:textId="77777777" w:rsidR="00AA2F0E" w:rsidRPr="009F123E" w:rsidRDefault="00AA2F0E" w:rsidP="00AA2F0E">
      <w:pPr>
        <w:spacing w:before="240"/>
        <w:ind w:left="1134" w:hanging="1134"/>
        <w:jc w:val="both"/>
        <w:rPr>
          <w:rFonts w:ascii="Times New Roman" w:hAnsi="Times New Roman"/>
          <w:b/>
          <w:sz w:val="22"/>
          <w:szCs w:val="22"/>
        </w:rPr>
      </w:pPr>
      <w:bookmarkStart w:id="10" w:name="_Toc124934904"/>
      <w:r w:rsidRPr="009F123E">
        <w:rPr>
          <w:rFonts w:ascii="Times New Roman" w:hAnsi="Times New Roman"/>
          <w:b/>
          <w:sz w:val="22"/>
          <w:szCs w:val="22"/>
        </w:rPr>
        <w:t>Article 14</w:t>
      </w:r>
      <w:r w:rsidRPr="009F123E">
        <w:rPr>
          <w:rFonts w:ascii="Times New Roman" w:hAnsi="Times New Roman"/>
          <w:b/>
          <w:sz w:val="22"/>
          <w:szCs w:val="22"/>
        </w:rPr>
        <w:tab/>
        <w:t>Contractor’s drawings</w:t>
      </w:r>
      <w:bookmarkEnd w:id="10"/>
    </w:p>
    <w:p w14:paraId="40921F0F" w14:textId="77777777" w:rsidR="00AA2F0E" w:rsidRPr="009F123E" w:rsidRDefault="00AA2F0E" w:rsidP="00AA2F0E">
      <w:pPr>
        <w:autoSpaceDE w:val="0"/>
        <w:autoSpaceDN w:val="0"/>
        <w:adjustRightInd w:val="0"/>
        <w:spacing w:before="0"/>
        <w:ind w:left="360"/>
        <w:jc w:val="both"/>
        <w:rPr>
          <w:rFonts w:ascii="Times New Roman" w:hAnsi="Times New Roman"/>
          <w:snapToGrid/>
          <w:color w:val="222222"/>
          <w:sz w:val="22"/>
          <w:szCs w:val="22"/>
          <w:lang w:val="en" w:eastAsia="en-GB"/>
        </w:rPr>
      </w:pPr>
      <w:r w:rsidRPr="009F123E">
        <w:rPr>
          <w:rFonts w:ascii="Times New Roman" w:hAnsi="Times New Roman"/>
          <w:snapToGrid/>
          <w:color w:val="000000"/>
          <w:sz w:val="22"/>
          <w:szCs w:val="22"/>
          <w:lang w:eastAsia="en-GB"/>
        </w:rPr>
        <w:t>14.1</w:t>
      </w:r>
      <w:r w:rsidRPr="009F123E">
        <w:rPr>
          <w:rFonts w:ascii="Times New Roman" w:hAnsi="Times New Roman"/>
          <w:snapToGrid/>
          <w:color w:val="000000"/>
          <w:sz w:val="22"/>
          <w:szCs w:val="22"/>
          <w:lang w:eastAsia="en-GB"/>
        </w:rPr>
        <w:tab/>
        <w:t xml:space="preserve">Not Applicable </w:t>
      </w:r>
    </w:p>
    <w:p w14:paraId="40BE5A91" w14:textId="77777777" w:rsidR="00AA2F0E" w:rsidRPr="009F123E" w:rsidRDefault="00AA2F0E" w:rsidP="00AA2F0E">
      <w:pPr>
        <w:spacing w:before="240"/>
        <w:ind w:left="1134" w:hanging="1134"/>
        <w:jc w:val="both"/>
        <w:rPr>
          <w:rFonts w:ascii="Times New Roman" w:hAnsi="Times New Roman"/>
          <w:b/>
          <w:sz w:val="22"/>
          <w:szCs w:val="22"/>
        </w:rPr>
      </w:pPr>
      <w:bookmarkStart w:id="11" w:name="_Toc124934905"/>
      <w:r w:rsidRPr="009F123E">
        <w:rPr>
          <w:rFonts w:ascii="Times New Roman" w:hAnsi="Times New Roman"/>
          <w:b/>
          <w:sz w:val="22"/>
          <w:szCs w:val="22"/>
        </w:rPr>
        <w:t>Article 15</w:t>
      </w:r>
      <w:r w:rsidRPr="009F123E">
        <w:rPr>
          <w:rFonts w:ascii="Times New Roman" w:hAnsi="Times New Roman"/>
          <w:b/>
          <w:sz w:val="22"/>
          <w:szCs w:val="22"/>
        </w:rPr>
        <w:tab/>
        <w:t>Sufficiency of tender prices</w:t>
      </w:r>
      <w:bookmarkEnd w:id="11"/>
      <w:r w:rsidRPr="009F123E">
        <w:rPr>
          <w:rFonts w:ascii="Times New Roman" w:hAnsi="Times New Roman"/>
          <w:b/>
          <w:sz w:val="22"/>
          <w:szCs w:val="22"/>
        </w:rPr>
        <w:tab/>
      </w:r>
    </w:p>
    <w:p w14:paraId="61A53787" w14:textId="77777777" w:rsidR="00AA2F0E" w:rsidRPr="009F123E" w:rsidRDefault="00AA2F0E" w:rsidP="00AA2F0E">
      <w:pPr>
        <w:ind w:left="1134" w:hanging="709"/>
        <w:jc w:val="both"/>
        <w:rPr>
          <w:rFonts w:ascii="Times New Roman" w:hAnsi="Times New Roman"/>
          <w:sz w:val="22"/>
          <w:szCs w:val="22"/>
        </w:rPr>
      </w:pPr>
      <w:r w:rsidRPr="009F123E">
        <w:rPr>
          <w:rFonts w:ascii="Times New Roman" w:hAnsi="Times New Roman"/>
          <w:sz w:val="22"/>
          <w:szCs w:val="22"/>
        </w:rPr>
        <w:t>15.1</w:t>
      </w:r>
      <w:r w:rsidRPr="009F123E">
        <w:rPr>
          <w:rFonts w:ascii="Times New Roman" w:hAnsi="Times New Roman"/>
          <w:sz w:val="22"/>
          <w:szCs w:val="22"/>
        </w:rPr>
        <w:tab/>
        <w:t>No price revision shall be accepted under this contract.</w:t>
      </w:r>
    </w:p>
    <w:p w14:paraId="1A50217E" w14:textId="77777777" w:rsidR="00AA2F0E" w:rsidRPr="009F123E" w:rsidRDefault="00AA2F0E" w:rsidP="00AA2F0E">
      <w:pPr>
        <w:jc w:val="both"/>
        <w:rPr>
          <w:rFonts w:ascii="Times New Roman" w:hAnsi="Times New Roman"/>
          <w:b/>
          <w:sz w:val="22"/>
          <w:szCs w:val="22"/>
        </w:rPr>
      </w:pPr>
      <w:r w:rsidRPr="009F123E">
        <w:rPr>
          <w:rFonts w:ascii="Times New Roman" w:hAnsi="Times New Roman"/>
          <w:b/>
          <w:sz w:val="22"/>
          <w:szCs w:val="22"/>
        </w:rPr>
        <w:t>Article 16</w:t>
      </w:r>
      <w:r w:rsidRPr="009F123E">
        <w:rPr>
          <w:rFonts w:ascii="Times New Roman" w:hAnsi="Times New Roman"/>
          <w:b/>
          <w:sz w:val="22"/>
          <w:szCs w:val="22"/>
        </w:rPr>
        <w:tab/>
        <w:t>Tax and customs arrangements</w:t>
      </w:r>
    </w:p>
    <w:p w14:paraId="0F21A463" w14:textId="77777777" w:rsidR="00AA2F0E" w:rsidRPr="009F123E" w:rsidRDefault="00AA2F0E" w:rsidP="00AA2F0E">
      <w:pPr>
        <w:ind w:left="1134" w:hanging="709"/>
        <w:jc w:val="both"/>
        <w:rPr>
          <w:rFonts w:ascii="Times New Roman" w:hAnsi="Times New Roman"/>
          <w:sz w:val="22"/>
          <w:szCs w:val="22"/>
        </w:rPr>
      </w:pPr>
      <w:r w:rsidRPr="009F123E">
        <w:rPr>
          <w:rFonts w:ascii="Times New Roman" w:hAnsi="Times New Roman"/>
          <w:sz w:val="22"/>
          <w:szCs w:val="22"/>
        </w:rPr>
        <w:t>16.1</w:t>
      </w:r>
      <w:r w:rsidRPr="009F123E">
        <w:rPr>
          <w:rFonts w:ascii="Times New Roman" w:hAnsi="Times New Roman"/>
          <w:sz w:val="22"/>
          <w:szCs w:val="22"/>
        </w:rPr>
        <w:tab/>
        <w:t>See Article 12</w:t>
      </w:r>
    </w:p>
    <w:p w14:paraId="18AC13A1" w14:textId="77777777" w:rsidR="00AA2F0E" w:rsidRPr="009F123E" w:rsidRDefault="00AA2F0E" w:rsidP="00AA2F0E">
      <w:pPr>
        <w:spacing w:before="240"/>
        <w:ind w:left="1134" w:hanging="1134"/>
        <w:jc w:val="both"/>
        <w:rPr>
          <w:rFonts w:ascii="Times New Roman" w:hAnsi="Times New Roman"/>
          <w:b/>
          <w:sz w:val="22"/>
          <w:szCs w:val="22"/>
        </w:rPr>
      </w:pPr>
      <w:bookmarkStart w:id="12" w:name="_Toc124934906"/>
      <w:r w:rsidRPr="009F123E">
        <w:rPr>
          <w:rFonts w:ascii="Times New Roman" w:hAnsi="Times New Roman"/>
          <w:b/>
          <w:sz w:val="22"/>
          <w:szCs w:val="22"/>
        </w:rPr>
        <w:t>Article 17</w:t>
      </w:r>
      <w:r w:rsidRPr="009F123E">
        <w:rPr>
          <w:rFonts w:ascii="Times New Roman" w:hAnsi="Times New Roman"/>
          <w:b/>
          <w:sz w:val="22"/>
          <w:szCs w:val="22"/>
        </w:rPr>
        <w:tab/>
        <w:t>Patents and licences</w:t>
      </w:r>
      <w:bookmarkEnd w:id="12"/>
    </w:p>
    <w:p w14:paraId="1C79BAAB" w14:textId="77777777" w:rsidR="00AA2F0E" w:rsidRPr="009F123E" w:rsidRDefault="00AA2F0E" w:rsidP="00AA2F0E">
      <w:pPr>
        <w:ind w:left="1134" w:hanging="709"/>
        <w:jc w:val="both"/>
        <w:rPr>
          <w:rFonts w:ascii="Times New Roman" w:hAnsi="Times New Roman"/>
          <w:sz w:val="22"/>
          <w:szCs w:val="22"/>
        </w:rPr>
      </w:pPr>
      <w:r w:rsidRPr="009F123E">
        <w:rPr>
          <w:rFonts w:ascii="Times New Roman" w:hAnsi="Times New Roman"/>
          <w:sz w:val="22"/>
          <w:szCs w:val="22"/>
        </w:rPr>
        <w:t>17.1</w:t>
      </w:r>
      <w:r w:rsidRPr="009F123E">
        <w:rPr>
          <w:rFonts w:ascii="Times New Roman" w:hAnsi="Times New Roman"/>
          <w:sz w:val="22"/>
          <w:szCs w:val="22"/>
        </w:rPr>
        <w:tab/>
        <w:t>There shall be no derogation from Article 17 of the general conditions</w:t>
      </w:r>
    </w:p>
    <w:p w14:paraId="04FAE7EC" w14:textId="77777777" w:rsidR="00AA2F0E" w:rsidRPr="00C14EEC" w:rsidRDefault="00AA2F0E" w:rsidP="00AA2F0E">
      <w:pPr>
        <w:spacing w:before="240"/>
        <w:ind w:left="1134" w:hanging="1134"/>
        <w:jc w:val="both"/>
        <w:rPr>
          <w:rFonts w:ascii="Times New Roman" w:hAnsi="Times New Roman"/>
          <w:b/>
          <w:sz w:val="24"/>
          <w:szCs w:val="24"/>
        </w:rPr>
      </w:pPr>
      <w:bookmarkStart w:id="13" w:name="_Toc124934907"/>
      <w:r w:rsidRPr="00C14EEC">
        <w:rPr>
          <w:rFonts w:ascii="Times New Roman" w:hAnsi="Times New Roman"/>
          <w:b/>
          <w:sz w:val="24"/>
          <w:szCs w:val="24"/>
        </w:rPr>
        <w:t>Article 18</w:t>
      </w:r>
      <w:r w:rsidRPr="00C14EEC">
        <w:rPr>
          <w:rFonts w:ascii="Times New Roman" w:hAnsi="Times New Roman"/>
          <w:b/>
          <w:sz w:val="24"/>
          <w:szCs w:val="24"/>
        </w:rPr>
        <w:tab/>
        <w:t>Commencement order</w:t>
      </w:r>
      <w:bookmarkEnd w:id="13"/>
      <w:r w:rsidRPr="00C14EEC">
        <w:rPr>
          <w:rFonts w:ascii="Times New Roman" w:hAnsi="Times New Roman"/>
          <w:b/>
          <w:sz w:val="24"/>
          <w:szCs w:val="24"/>
        </w:rPr>
        <w:t xml:space="preserve"> </w:t>
      </w:r>
    </w:p>
    <w:p w14:paraId="28A00C3F" w14:textId="77777777" w:rsidR="00AA2F0E" w:rsidRPr="00893103" w:rsidRDefault="00AA2F0E" w:rsidP="00AA2F0E">
      <w:pPr>
        <w:ind w:left="1134" w:hanging="709"/>
        <w:jc w:val="both"/>
        <w:rPr>
          <w:rFonts w:ascii="Times New Roman" w:hAnsi="Times New Roman"/>
          <w:sz w:val="22"/>
          <w:szCs w:val="22"/>
        </w:rPr>
      </w:pPr>
      <w:r w:rsidRPr="00893103">
        <w:rPr>
          <w:rFonts w:ascii="Times New Roman" w:hAnsi="Times New Roman"/>
          <w:sz w:val="22"/>
          <w:szCs w:val="22"/>
        </w:rPr>
        <w:t>18.1</w:t>
      </w:r>
      <w:r w:rsidRPr="00893103">
        <w:rPr>
          <w:rFonts w:ascii="Times New Roman" w:hAnsi="Times New Roman"/>
          <w:b/>
          <w:sz w:val="22"/>
          <w:szCs w:val="22"/>
        </w:rPr>
        <w:tab/>
      </w:r>
      <w:r w:rsidRPr="00893103">
        <w:rPr>
          <w:rFonts w:ascii="Times New Roman" w:hAnsi="Times New Roman"/>
          <w:sz w:val="22"/>
          <w:szCs w:val="22"/>
        </w:rPr>
        <w:t>The Contract shall enter into force on the date of its signature by the last party contractor. Performance of the contract shall commence immediately</w:t>
      </w:r>
      <w:r w:rsidRPr="00893103">
        <w:rPr>
          <w:rFonts w:ascii="Times New Roman" w:hAnsi="Times New Roman"/>
          <w:b/>
          <w:sz w:val="22"/>
          <w:szCs w:val="22"/>
        </w:rPr>
        <w:t>.</w:t>
      </w:r>
    </w:p>
    <w:p w14:paraId="1F02999E" w14:textId="77777777" w:rsidR="00AA2F0E" w:rsidRPr="00893103" w:rsidRDefault="00AA2F0E" w:rsidP="00AA2F0E">
      <w:pPr>
        <w:spacing w:before="240"/>
        <w:ind w:left="1134" w:hanging="1134"/>
        <w:jc w:val="both"/>
        <w:rPr>
          <w:rFonts w:ascii="Times New Roman" w:hAnsi="Times New Roman"/>
          <w:b/>
          <w:sz w:val="22"/>
          <w:szCs w:val="22"/>
        </w:rPr>
      </w:pPr>
      <w:bookmarkStart w:id="14" w:name="_Toc124934908"/>
      <w:r w:rsidRPr="00893103">
        <w:rPr>
          <w:rFonts w:ascii="Times New Roman" w:hAnsi="Times New Roman"/>
          <w:b/>
          <w:sz w:val="22"/>
          <w:szCs w:val="22"/>
        </w:rPr>
        <w:t>Article 19</w:t>
      </w:r>
      <w:r w:rsidRPr="00893103">
        <w:rPr>
          <w:rFonts w:ascii="Times New Roman" w:hAnsi="Times New Roman"/>
          <w:b/>
          <w:sz w:val="22"/>
          <w:szCs w:val="22"/>
        </w:rPr>
        <w:tab/>
        <w:t>Period of implementation</w:t>
      </w:r>
      <w:bookmarkEnd w:id="14"/>
      <w:r w:rsidRPr="00893103">
        <w:rPr>
          <w:rFonts w:ascii="Times New Roman" w:hAnsi="Times New Roman"/>
          <w:b/>
          <w:sz w:val="22"/>
          <w:szCs w:val="22"/>
        </w:rPr>
        <w:t xml:space="preserve"> of the tasks</w:t>
      </w:r>
    </w:p>
    <w:p w14:paraId="41CBF5E0" w14:textId="77777777" w:rsidR="00AA2F0E" w:rsidRPr="00893103" w:rsidRDefault="00AA2F0E" w:rsidP="00AA2F0E">
      <w:pPr>
        <w:ind w:left="1134" w:hanging="709"/>
        <w:jc w:val="both"/>
        <w:rPr>
          <w:rFonts w:ascii="Times New Roman" w:hAnsi="Times New Roman"/>
          <w:sz w:val="22"/>
          <w:szCs w:val="22"/>
        </w:rPr>
      </w:pPr>
      <w:r w:rsidRPr="00893103">
        <w:rPr>
          <w:rFonts w:ascii="Times New Roman" w:hAnsi="Times New Roman"/>
          <w:sz w:val="22"/>
          <w:szCs w:val="22"/>
        </w:rPr>
        <w:t>19.1</w:t>
      </w:r>
      <w:r w:rsidRPr="00893103">
        <w:rPr>
          <w:rFonts w:ascii="Times New Roman" w:hAnsi="Times New Roman"/>
          <w:b/>
          <w:sz w:val="22"/>
          <w:szCs w:val="22"/>
        </w:rPr>
        <w:tab/>
      </w:r>
      <w:r w:rsidRPr="00893103">
        <w:rPr>
          <w:rFonts w:ascii="Times New Roman" w:hAnsi="Times New Roman"/>
          <w:sz w:val="22"/>
          <w:szCs w:val="22"/>
        </w:rPr>
        <w:t xml:space="preserve">The implementation period of the tasks shall be a maximum of 60 calendar days according to the date of signature by the last party. </w:t>
      </w:r>
    </w:p>
    <w:p w14:paraId="48A4640C" w14:textId="77777777" w:rsidR="00AA2F0E" w:rsidRPr="00C14EEC" w:rsidRDefault="00AA2F0E" w:rsidP="00AA2F0E">
      <w:pPr>
        <w:spacing w:before="240"/>
        <w:ind w:left="1134" w:hanging="1134"/>
        <w:jc w:val="both"/>
        <w:rPr>
          <w:rFonts w:ascii="Times New Roman" w:hAnsi="Times New Roman"/>
          <w:b/>
          <w:sz w:val="24"/>
          <w:szCs w:val="24"/>
        </w:rPr>
      </w:pPr>
      <w:bookmarkStart w:id="15" w:name="_Toc124934910"/>
      <w:r w:rsidRPr="00C14EEC">
        <w:rPr>
          <w:rFonts w:ascii="Times New Roman" w:hAnsi="Times New Roman"/>
          <w:b/>
          <w:sz w:val="24"/>
          <w:szCs w:val="24"/>
        </w:rPr>
        <w:t>Article 24</w:t>
      </w:r>
      <w:r w:rsidRPr="00C14EEC">
        <w:rPr>
          <w:rFonts w:ascii="Times New Roman" w:hAnsi="Times New Roman"/>
          <w:b/>
          <w:sz w:val="24"/>
          <w:szCs w:val="24"/>
        </w:rPr>
        <w:tab/>
        <w:t>Quality of supplies</w:t>
      </w:r>
      <w:bookmarkEnd w:id="15"/>
    </w:p>
    <w:p w14:paraId="659EF9BF" w14:textId="77777777" w:rsidR="00AA2F0E" w:rsidRPr="00C14EEC" w:rsidRDefault="00AA2F0E" w:rsidP="00AA2F0E">
      <w:pPr>
        <w:ind w:left="1134" w:hanging="709"/>
        <w:jc w:val="both"/>
        <w:rPr>
          <w:rFonts w:ascii="Times New Roman" w:hAnsi="Times New Roman"/>
          <w:sz w:val="22"/>
          <w:szCs w:val="22"/>
        </w:rPr>
      </w:pPr>
      <w:r w:rsidRPr="00C14EEC">
        <w:rPr>
          <w:rFonts w:ascii="Times New Roman" w:hAnsi="Times New Roman"/>
          <w:sz w:val="22"/>
          <w:szCs w:val="22"/>
        </w:rPr>
        <w:t>24.2</w:t>
      </w:r>
      <w:r w:rsidRPr="00C14EEC">
        <w:rPr>
          <w:rFonts w:ascii="Times New Roman" w:hAnsi="Times New Roman"/>
          <w:sz w:val="22"/>
          <w:szCs w:val="22"/>
        </w:rPr>
        <w:tab/>
        <w:t xml:space="preserve">A preliminary technical acceptance will be undertaken based of the technical speciation as provided in Annex II. </w:t>
      </w:r>
    </w:p>
    <w:p w14:paraId="1EE008FA" w14:textId="77777777" w:rsidR="00AA2F0E" w:rsidRPr="00C14EEC" w:rsidRDefault="00AA2F0E" w:rsidP="00AA2F0E">
      <w:pPr>
        <w:spacing w:before="240"/>
        <w:ind w:left="1134" w:hanging="1134"/>
        <w:jc w:val="both"/>
        <w:rPr>
          <w:rFonts w:ascii="Times New Roman" w:hAnsi="Times New Roman"/>
          <w:b/>
          <w:sz w:val="24"/>
          <w:szCs w:val="24"/>
        </w:rPr>
      </w:pPr>
      <w:bookmarkStart w:id="16" w:name="_Toc124934911"/>
      <w:r w:rsidRPr="00C14EEC">
        <w:rPr>
          <w:rFonts w:ascii="Times New Roman" w:hAnsi="Times New Roman"/>
          <w:b/>
          <w:sz w:val="24"/>
          <w:szCs w:val="24"/>
        </w:rPr>
        <w:t>Article 25</w:t>
      </w:r>
      <w:r w:rsidRPr="00C14EEC">
        <w:rPr>
          <w:rFonts w:ascii="Times New Roman" w:hAnsi="Times New Roman"/>
          <w:b/>
          <w:sz w:val="24"/>
          <w:szCs w:val="24"/>
        </w:rPr>
        <w:tab/>
        <w:t>Inspection and testing</w:t>
      </w:r>
      <w:bookmarkEnd w:id="16"/>
    </w:p>
    <w:p w14:paraId="13C52A93" w14:textId="77777777" w:rsidR="00AA2F0E" w:rsidRPr="00D335D9" w:rsidRDefault="00AA2F0E" w:rsidP="00AA2F0E">
      <w:pPr>
        <w:ind w:left="1134" w:hanging="709"/>
        <w:jc w:val="both"/>
        <w:rPr>
          <w:rFonts w:ascii="Times New Roman" w:hAnsi="Times New Roman"/>
          <w:bCs/>
          <w:sz w:val="22"/>
          <w:szCs w:val="22"/>
        </w:rPr>
      </w:pPr>
      <w:r w:rsidRPr="00D335D9">
        <w:rPr>
          <w:rFonts w:ascii="Times New Roman" w:hAnsi="Times New Roman"/>
          <w:bCs/>
          <w:sz w:val="22"/>
          <w:szCs w:val="22"/>
        </w:rPr>
        <w:t>25.2</w:t>
      </w:r>
      <w:r w:rsidRPr="00D335D9">
        <w:rPr>
          <w:rFonts w:ascii="Times New Roman" w:hAnsi="Times New Roman"/>
          <w:bCs/>
          <w:sz w:val="22"/>
          <w:szCs w:val="22"/>
        </w:rPr>
        <w:tab/>
        <w:t xml:space="preserve">The Supplies will be inspected and tested in accordance with Article 25 of the General Conditions and the practical arrangements for testing. The testing for technical and mechanical conditions will take place on delivery by a technically competent officer from the </w:t>
      </w:r>
      <w:r w:rsidRPr="00D335D9">
        <w:rPr>
          <w:rFonts w:ascii="Times New Roman" w:hAnsi="Times New Roman"/>
          <w:b/>
          <w:sz w:val="22"/>
          <w:szCs w:val="22"/>
        </w:rPr>
        <w:t xml:space="preserve">Ministry of Works and Transport </w:t>
      </w:r>
      <w:r w:rsidRPr="00D335D9">
        <w:rPr>
          <w:rFonts w:ascii="Times New Roman" w:hAnsi="Times New Roman"/>
          <w:bCs/>
          <w:sz w:val="22"/>
          <w:szCs w:val="22"/>
        </w:rPr>
        <w:t>for technical and mechanical conditions. This office will ensure that the supplies are consistent with the technical specifications presented in the tenderer's tender dossier.</w:t>
      </w:r>
    </w:p>
    <w:p w14:paraId="0DFF1562" w14:textId="77777777" w:rsidR="00AA2F0E" w:rsidRPr="00C14EEC" w:rsidRDefault="00AA2F0E" w:rsidP="00AA2F0E">
      <w:pPr>
        <w:keepNext/>
        <w:spacing w:before="240"/>
        <w:ind w:left="1134" w:hanging="1134"/>
        <w:jc w:val="both"/>
        <w:rPr>
          <w:rFonts w:ascii="Times New Roman" w:hAnsi="Times New Roman"/>
          <w:b/>
          <w:sz w:val="24"/>
          <w:szCs w:val="24"/>
        </w:rPr>
      </w:pPr>
      <w:bookmarkStart w:id="17" w:name="_Toc124934912"/>
      <w:r w:rsidRPr="00C14EEC">
        <w:rPr>
          <w:rFonts w:ascii="Times New Roman" w:hAnsi="Times New Roman"/>
          <w:b/>
          <w:sz w:val="24"/>
          <w:szCs w:val="24"/>
        </w:rPr>
        <w:t>Article 26</w:t>
      </w:r>
      <w:r w:rsidRPr="00C14EEC">
        <w:rPr>
          <w:rFonts w:ascii="Times New Roman" w:hAnsi="Times New Roman"/>
          <w:b/>
          <w:sz w:val="24"/>
          <w:szCs w:val="24"/>
        </w:rPr>
        <w:tab/>
      </w:r>
      <w:bookmarkEnd w:id="17"/>
      <w:r w:rsidRPr="00C14EEC">
        <w:rPr>
          <w:rFonts w:ascii="Times New Roman" w:hAnsi="Times New Roman"/>
          <w:b/>
          <w:sz w:val="24"/>
          <w:szCs w:val="24"/>
        </w:rPr>
        <w:t>General principles for payments</w:t>
      </w:r>
    </w:p>
    <w:p w14:paraId="0DE40B20" w14:textId="77777777" w:rsidR="00AA2F0E" w:rsidRPr="00C14EEC" w:rsidRDefault="00AA2F0E" w:rsidP="00AA2F0E">
      <w:pPr>
        <w:tabs>
          <w:tab w:val="right" w:pos="9885"/>
        </w:tabs>
        <w:ind w:left="1134" w:hanging="709"/>
        <w:jc w:val="both"/>
        <w:rPr>
          <w:rFonts w:ascii="Times New Roman" w:hAnsi="Times New Roman"/>
          <w:sz w:val="22"/>
          <w:szCs w:val="22"/>
        </w:rPr>
      </w:pPr>
      <w:r w:rsidRPr="00C14EEC">
        <w:rPr>
          <w:rFonts w:ascii="Times New Roman" w:hAnsi="Times New Roman"/>
          <w:sz w:val="22"/>
          <w:szCs w:val="22"/>
        </w:rPr>
        <w:t>26.1</w:t>
      </w:r>
      <w:r w:rsidRPr="00C14EEC">
        <w:rPr>
          <w:rFonts w:ascii="Times New Roman" w:hAnsi="Times New Roman"/>
          <w:sz w:val="22"/>
          <w:szCs w:val="22"/>
        </w:rPr>
        <w:tab/>
        <w:t xml:space="preserve">Payments shall be made in either </w:t>
      </w:r>
      <w:r w:rsidRPr="00A52889">
        <w:rPr>
          <w:rFonts w:ascii="Times New Roman" w:hAnsi="Times New Roman"/>
          <w:b/>
          <w:sz w:val="22"/>
          <w:szCs w:val="22"/>
        </w:rPr>
        <w:t>Ugandan Shillings</w:t>
      </w:r>
      <w:r w:rsidRPr="00C14EEC">
        <w:rPr>
          <w:rFonts w:ascii="Times New Roman" w:hAnsi="Times New Roman"/>
          <w:sz w:val="22"/>
          <w:szCs w:val="22"/>
        </w:rPr>
        <w:t>.</w:t>
      </w:r>
    </w:p>
    <w:p w14:paraId="008B78C9" w14:textId="77777777" w:rsidR="00AA2F0E" w:rsidRPr="00C14EEC" w:rsidRDefault="00AA2F0E" w:rsidP="00AA2F0E">
      <w:pPr>
        <w:tabs>
          <w:tab w:val="right" w:pos="9885"/>
        </w:tabs>
        <w:ind w:left="1134"/>
        <w:jc w:val="both"/>
        <w:rPr>
          <w:rFonts w:ascii="Times New Roman" w:hAnsi="Times New Roman"/>
          <w:sz w:val="22"/>
          <w:szCs w:val="22"/>
        </w:rPr>
      </w:pPr>
      <w:r w:rsidRPr="00C14EEC">
        <w:rPr>
          <w:rFonts w:ascii="Times New Roman" w:hAnsi="Times New Roman"/>
          <w:sz w:val="22"/>
          <w:szCs w:val="22"/>
        </w:rPr>
        <w:t>Following provisional acceptance, 100% of the contract price will be paid to the supplier after receipt by the Contracting Authority of an admissible invoice.</w:t>
      </w:r>
    </w:p>
    <w:p w14:paraId="01A5664E" w14:textId="77777777" w:rsidR="00AA2F0E" w:rsidRPr="00C14EEC" w:rsidRDefault="00AA2F0E" w:rsidP="00AA2F0E">
      <w:pPr>
        <w:tabs>
          <w:tab w:val="left" w:pos="1134"/>
          <w:tab w:val="right" w:pos="9885"/>
        </w:tabs>
        <w:ind w:left="1134"/>
        <w:jc w:val="both"/>
        <w:rPr>
          <w:rFonts w:ascii="Times New Roman" w:hAnsi="Times New Roman"/>
          <w:sz w:val="22"/>
          <w:szCs w:val="22"/>
        </w:rPr>
      </w:pPr>
      <w:r w:rsidRPr="00C14EEC">
        <w:rPr>
          <w:rFonts w:ascii="Times New Roman" w:hAnsi="Times New Roman"/>
          <w:sz w:val="22"/>
          <w:szCs w:val="22"/>
        </w:rPr>
        <w:lastRenderedPageBreak/>
        <w:t>In order to obtain payment, the Contractor must entitle the payment requests in the name of the</w:t>
      </w:r>
      <w:r>
        <w:rPr>
          <w:rFonts w:ascii="Times New Roman" w:hAnsi="Times New Roman"/>
          <w:sz w:val="22"/>
          <w:szCs w:val="22"/>
        </w:rPr>
        <w:t xml:space="preserve"> </w:t>
      </w:r>
      <w:r w:rsidRPr="00D335D9">
        <w:rPr>
          <w:rFonts w:ascii="Times New Roman" w:eastAsia="Calibri" w:hAnsi="Times New Roman"/>
          <w:b/>
          <w:snapToGrid/>
          <w:sz w:val="22"/>
          <w:szCs w:val="22"/>
        </w:rPr>
        <w:t>11</w:t>
      </w:r>
      <w:r w:rsidRPr="00D335D9">
        <w:rPr>
          <w:rFonts w:ascii="Times New Roman" w:eastAsia="Calibri" w:hAnsi="Times New Roman"/>
          <w:b/>
          <w:snapToGrid/>
          <w:sz w:val="22"/>
          <w:szCs w:val="22"/>
          <w:vertAlign w:val="superscript"/>
        </w:rPr>
        <w:t xml:space="preserve">th </w:t>
      </w:r>
      <w:r w:rsidRPr="00D335D9">
        <w:rPr>
          <w:rFonts w:ascii="Times New Roman" w:eastAsia="Calibri" w:hAnsi="Times New Roman"/>
          <w:b/>
          <w:snapToGrid/>
          <w:sz w:val="22"/>
          <w:szCs w:val="22"/>
        </w:rPr>
        <w:t>EDF Developing a Market –Oriented and Environmentally Sustainable Beef Meat Industry</w:t>
      </w:r>
      <w:r w:rsidRPr="00D335D9">
        <w:rPr>
          <w:rFonts w:ascii="Times New Roman" w:hAnsi="Times New Roman"/>
          <w:b/>
          <w:sz w:val="22"/>
          <w:szCs w:val="22"/>
        </w:rPr>
        <w:t xml:space="preserve"> in Uganda (MOBIP</w:t>
      </w:r>
      <w:r>
        <w:rPr>
          <w:rFonts w:ascii="Times New Roman" w:hAnsi="Times New Roman"/>
          <w:b/>
          <w:sz w:val="22"/>
          <w:szCs w:val="22"/>
        </w:rPr>
        <w:t>)</w:t>
      </w:r>
      <w:r w:rsidRPr="00C14EEC">
        <w:rPr>
          <w:rFonts w:ascii="Times New Roman" w:hAnsi="Times New Roman"/>
          <w:sz w:val="22"/>
          <w:szCs w:val="22"/>
        </w:rPr>
        <w:t>.</w:t>
      </w:r>
    </w:p>
    <w:p w14:paraId="4152630D" w14:textId="77777777" w:rsidR="00AA2F0E" w:rsidRPr="00D335D9" w:rsidRDefault="00AA2F0E" w:rsidP="00AA2F0E">
      <w:pPr>
        <w:ind w:left="1134"/>
        <w:jc w:val="both"/>
        <w:rPr>
          <w:rFonts w:ascii="Times New Roman" w:hAnsi="Times New Roman"/>
          <w:b/>
          <w:sz w:val="22"/>
          <w:szCs w:val="22"/>
        </w:rPr>
      </w:pPr>
      <w:r w:rsidRPr="00C14EEC">
        <w:rPr>
          <w:rFonts w:ascii="Times New Roman" w:hAnsi="Times New Roman"/>
          <w:sz w:val="22"/>
          <w:szCs w:val="22"/>
        </w:rPr>
        <w:t xml:space="preserve">Payments shall be authorised and made by the </w:t>
      </w:r>
      <w:r>
        <w:rPr>
          <w:rFonts w:ascii="Times New Roman" w:hAnsi="Times New Roman"/>
          <w:sz w:val="22"/>
          <w:szCs w:val="22"/>
        </w:rPr>
        <w:t>I</w:t>
      </w:r>
      <w:r w:rsidRPr="00C14EEC">
        <w:rPr>
          <w:rFonts w:ascii="Times New Roman" w:hAnsi="Times New Roman"/>
          <w:sz w:val="22"/>
          <w:szCs w:val="22"/>
        </w:rPr>
        <w:t>mprest administrator,</w:t>
      </w:r>
      <w:r w:rsidRPr="00A52889">
        <w:rPr>
          <w:rFonts w:ascii="Times New Roman" w:eastAsia="Calibri" w:hAnsi="Times New Roman"/>
          <w:b/>
          <w:snapToGrid/>
          <w:sz w:val="22"/>
          <w:szCs w:val="22"/>
        </w:rPr>
        <w:t xml:space="preserve"> </w:t>
      </w:r>
      <w:r>
        <w:rPr>
          <w:rFonts w:ascii="Times New Roman" w:eastAsia="Calibri" w:hAnsi="Times New Roman"/>
          <w:b/>
          <w:snapToGrid/>
          <w:sz w:val="22"/>
          <w:szCs w:val="22"/>
        </w:rPr>
        <w:t>11</w:t>
      </w:r>
      <w:r w:rsidRPr="00836389">
        <w:rPr>
          <w:rFonts w:ascii="Times New Roman" w:eastAsia="Calibri" w:hAnsi="Times New Roman"/>
          <w:b/>
          <w:snapToGrid/>
          <w:sz w:val="22"/>
          <w:szCs w:val="22"/>
          <w:vertAlign w:val="superscript"/>
        </w:rPr>
        <w:t xml:space="preserve">th </w:t>
      </w:r>
      <w:r>
        <w:rPr>
          <w:rFonts w:ascii="Times New Roman" w:eastAsia="Calibri" w:hAnsi="Times New Roman"/>
          <w:b/>
          <w:snapToGrid/>
          <w:sz w:val="22"/>
          <w:szCs w:val="22"/>
        </w:rPr>
        <w:t xml:space="preserve">EDF Developing a Market –Oriented and Environmentally Sustainable Beef Meat Industry in Uganda (MOBIP) The Permanent Secretary, </w:t>
      </w:r>
      <w:r w:rsidRPr="00A52889">
        <w:rPr>
          <w:rFonts w:ascii="Times New Roman" w:eastAsia="Calibri" w:hAnsi="Times New Roman"/>
          <w:b/>
          <w:snapToGrid/>
          <w:sz w:val="22"/>
          <w:szCs w:val="22"/>
        </w:rPr>
        <w:t>Ministry of Agriculture, Animal Industry and Fisheries</w:t>
      </w:r>
      <w:r w:rsidRPr="00C14EEC">
        <w:rPr>
          <w:rFonts w:ascii="Times New Roman" w:hAnsi="Times New Roman"/>
          <w:sz w:val="22"/>
          <w:szCs w:val="22"/>
        </w:rPr>
        <w:t xml:space="preserve"> </w:t>
      </w:r>
      <w:r w:rsidRPr="00D335D9">
        <w:rPr>
          <w:rFonts w:ascii="Times New Roman" w:hAnsi="Times New Roman"/>
          <w:b/>
          <w:sz w:val="22"/>
          <w:szCs w:val="22"/>
        </w:rPr>
        <w:t>Plot 16 – 18, Lugard Avenue, P. O. Box 102, Entebbe – Uganda.</w:t>
      </w:r>
    </w:p>
    <w:p w14:paraId="10AECF37" w14:textId="77777777" w:rsidR="00AA2F0E" w:rsidRPr="00C14EEC" w:rsidRDefault="00AA2F0E" w:rsidP="00AA2F0E">
      <w:pPr>
        <w:ind w:left="1134" w:hanging="709"/>
        <w:jc w:val="both"/>
        <w:rPr>
          <w:rFonts w:ascii="Times New Roman" w:hAnsi="Times New Roman"/>
          <w:sz w:val="22"/>
          <w:szCs w:val="22"/>
        </w:rPr>
      </w:pPr>
      <w:r w:rsidRPr="00C14EEC">
        <w:rPr>
          <w:rFonts w:ascii="Times New Roman" w:hAnsi="Times New Roman"/>
          <w:sz w:val="22"/>
          <w:szCs w:val="22"/>
        </w:rPr>
        <w:t>26.5</w:t>
      </w:r>
      <w:r w:rsidRPr="00C14EEC">
        <w:rPr>
          <w:rFonts w:ascii="Times New Roman" w:hAnsi="Times New Roman"/>
          <w:sz w:val="22"/>
          <w:szCs w:val="22"/>
        </w:rPr>
        <w:tab/>
        <w:t>In order to obtain payments, the contractor must forward to the authority referred to in paragraph 26.1 above:</w:t>
      </w:r>
    </w:p>
    <w:p w14:paraId="1D5021E9" w14:textId="77777777" w:rsidR="00AA2F0E" w:rsidRPr="00D335D9" w:rsidRDefault="00AA2F0E" w:rsidP="00AA2F0E">
      <w:pPr>
        <w:ind w:left="1560" w:hanging="426"/>
        <w:jc w:val="both"/>
        <w:rPr>
          <w:rFonts w:ascii="Times New Roman" w:hAnsi="Times New Roman"/>
          <w:sz w:val="22"/>
          <w:szCs w:val="22"/>
        </w:rPr>
      </w:pPr>
      <w:r w:rsidRPr="00D335D9">
        <w:rPr>
          <w:rFonts w:ascii="Times New Roman" w:hAnsi="Times New Roman"/>
          <w:sz w:val="22"/>
          <w:szCs w:val="22"/>
        </w:rPr>
        <w:t>a)</w:t>
      </w:r>
      <w:r w:rsidRPr="00D335D9">
        <w:rPr>
          <w:rFonts w:ascii="Times New Roman" w:hAnsi="Times New Roman"/>
          <w:sz w:val="22"/>
          <w:szCs w:val="22"/>
        </w:rPr>
        <w:tab/>
        <w:t xml:space="preserve">For the 40% pre-financing </w:t>
      </w:r>
    </w:p>
    <w:p w14:paraId="2631B293" w14:textId="77777777" w:rsidR="00AA2F0E" w:rsidRDefault="00AA2F0E" w:rsidP="00AA2F0E">
      <w:pPr>
        <w:ind w:left="1560" w:hanging="426"/>
        <w:jc w:val="both"/>
        <w:rPr>
          <w:rFonts w:ascii="Times New Roman" w:hAnsi="Times New Roman"/>
          <w:bCs/>
          <w:sz w:val="22"/>
          <w:szCs w:val="22"/>
        </w:rPr>
      </w:pPr>
      <w:r w:rsidRPr="00C14EEC">
        <w:rPr>
          <w:rFonts w:ascii="Times New Roman" w:hAnsi="Times New Roman"/>
          <w:bCs/>
          <w:sz w:val="22"/>
          <w:szCs w:val="22"/>
        </w:rPr>
        <w:t xml:space="preserve">By derogation from article </w:t>
      </w:r>
      <w:r w:rsidRPr="00C14EEC">
        <w:rPr>
          <w:rFonts w:ascii="Times New Roman" w:hAnsi="Times New Roman"/>
          <w:sz w:val="22"/>
          <w:szCs w:val="22"/>
        </w:rPr>
        <w:t xml:space="preserve">26.5 of the General Conditions, </w:t>
      </w:r>
      <w:r w:rsidRPr="00C14EEC">
        <w:rPr>
          <w:rFonts w:ascii="Times New Roman" w:hAnsi="Times New Roman"/>
          <w:bCs/>
          <w:sz w:val="22"/>
          <w:szCs w:val="22"/>
        </w:rPr>
        <w:t>no pre-financing guarantee is required</w:t>
      </w:r>
      <w:r>
        <w:rPr>
          <w:rFonts w:ascii="Times New Roman" w:hAnsi="Times New Roman"/>
          <w:bCs/>
          <w:sz w:val="22"/>
          <w:szCs w:val="22"/>
        </w:rPr>
        <w:t xml:space="preserve"> for Lot 2</w:t>
      </w:r>
    </w:p>
    <w:p w14:paraId="5B9C7D74" w14:textId="77777777" w:rsidR="00AA2F0E" w:rsidRDefault="00AA2F0E" w:rsidP="00AA2F0E">
      <w:pPr>
        <w:ind w:left="1560" w:hanging="426"/>
        <w:jc w:val="both"/>
        <w:rPr>
          <w:rFonts w:ascii="Times New Roman" w:hAnsi="Times New Roman"/>
          <w:snapToGrid/>
          <w:sz w:val="22"/>
          <w:szCs w:val="22"/>
          <w:lang w:eastAsia="en-GB"/>
        </w:rPr>
      </w:pPr>
      <w:r>
        <w:rPr>
          <w:rFonts w:ascii="Times New Roman" w:hAnsi="Times New Roman"/>
          <w:sz w:val="22"/>
          <w:szCs w:val="22"/>
        </w:rPr>
        <w:t>For Lot 1 and 3</w:t>
      </w:r>
      <w:r w:rsidRPr="00AE4BAC">
        <w:rPr>
          <w:rFonts w:ascii="Times New Roman" w:hAnsi="Times New Roman"/>
          <w:sz w:val="22"/>
          <w:szCs w:val="22"/>
        </w:rPr>
        <w:t>, When (i) the pre-financing requested is equal or below</w:t>
      </w:r>
      <w:r>
        <w:rPr>
          <w:rFonts w:ascii="Times New Roman" w:hAnsi="Times New Roman"/>
          <w:sz w:val="22"/>
          <w:szCs w:val="22"/>
        </w:rPr>
        <w:t xml:space="preserve"> </w:t>
      </w:r>
      <w:r w:rsidRPr="00AE4BAC">
        <w:rPr>
          <w:rFonts w:ascii="Times New Roman" w:hAnsi="Times New Roman"/>
          <w:sz w:val="22"/>
          <w:szCs w:val="22"/>
        </w:rPr>
        <w:t>EUR 300 000 and (ii) the contracting authority does not require a</w:t>
      </w:r>
      <w:r>
        <w:rPr>
          <w:rFonts w:ascii="Times New Roman" w:hAnsi="Times New Roman"/>
          <w:sz w:val="22"/>
          <w:szCs w:val="22"/>
        </w:rPr>
        <w:t xml:space="preserve"> </w:t>
      </w:r>
      <w:r w:rsidRPr="00AE4BAC">
        <w:rPr>
          <w:rFonts w:ascii="Times New Roman" w:hAnsi="Times New Roman"/>
          <w:sz w:val="22"/>
          <w:szCs w:val="22"/>
        </w:rPr>
        <w:t>financial guarantee following a risk assessment2, by derogation from</w:t>
      </w:r>
      <w:r>
        <w:rPr>
          <w:rFonts w:ascii="Times New Roman" w:hAnsi="Times New Roman"/>
          <w:sz w:val="22"/>
          <w:szCs w:val="22"/>
        </w:rPr>
        <w:t xml:space="preserve"> </w:t>
      </w:r>
      <w:r>
        <w:rPr>
          <w:rFonts w:ascii="Times New Roman" w:hAnsi="Times New Roman"/>
          <w:snapToGrid/>
          <w:sz w:val="22"/>
          <w:szCs w:val="22"/>
          <w:lang w:eastAsia="en-GB"/>
        </w:rPr>
        <w:t>article 26.5 of the general conditions no pre-financing guarantee is required</w:t>
      </w:r>
    </w:p>
    <w:p w14:paraId="1D85B2FE" w14:textId="77777777" w:rsidR="00AA2F0E" w:rsidRPr="00C14EEC" w:rsidRDefault="00AA2F0E" w:rsidP="00AA2F0E">
      <w:pPr>
        <w:ind w:left="1560" w:hanging="426"/>
        <w:jc w:val="both"/>
        <w:rPr>
          <w:rFonts w:ascii="Times New Roman" w:hAnsi="Times New Roman"/>
          <w:sz w:val="22"/>
          <w:szCs w:val="22"/>
        </w:rPr>
      </w:pPr>
      <w:r>
        <w:rPr>
          <w:rFonts w:ascii="Times New Roman" w:hAnsi="Times New Roman"/>
          <w:snapToGrid/>
          <w:sz w:val="22"/>
          <w:szCs w:val="22"/>
          <w:lang w:eastAsia="en-GB"/>
        </w:rPr>
        <w:t xml:space="preserve">b) </w:t>
      </w:r>
      <w:r w:rsidRPr="00AE4BAC">
        <w:rPr>
          <w:rFonts w:ascii="Times New Roman" w:hAnsi="Times New Roman"/>
          <w:snapToGrid/>
          <w:sz w:val="22"/>
          <w:szCs w:val="22"/>
          <w:lang w:eastAsia="en-GB"/>
        </w:rPr>
        <w:t>For the 60% balance, the invoice(s) in triplicate together with the request</w:t>
      </w:r>
      <w:r>
        <w:rPr>
          <w:rFonts w:ascii="Times New Roman" w:hAnsi="Times New Roman"/>
          <w:snapToGrid/>
          <w:sz w:val="22"/>
          <w:szCs w:val="22"/>
          <w:lang w:eastAsia="en-GB"/>
        </w:rPr>
        <w:t xml:space="preserve"> for provisional acceptance of the supplies.</w:t>
      </w:r>
    </w:p>
    <w:p w14:paraId="2D308AAC" w14:textId="77777777" w:rsidR="00AA2F0E" w:rsidRPr="00C14EEC" w:rsidRDefault="00AA2F0E" w:rsidP="00AA2F0E">
      <w:pPr>
        <w:spacing w:before="240"/>
        <w:ind w:left="1134" w:hanging="1134"/>
        <w:jc w:val="both"/>
        <w:rPr>
          <w:rFonts w:ascii="Times New Roman" w:hAnsi="Times New Roman"/>
          <w:b/>
          <w:sz w:val="24"/>
          <w:szCs w:val="24"/>
        </w:rPr>
      </w:pPr>
      <w:bookmarkStart w:id="18" w:name="_Toc124934913"/>
      <w:r w:rsidRPr="00C14EEC">
        <w:rPr>
          <w:rFonts w:ascii="Times New Roman" w:hAnsi="Times New Roman"/>
          <w:b/>
          <w:sz w:val="24"/>
          <w:szCs w:val="24"/>
        </w:rPr>
        <w:t>Article 28</w:t>
      </w:r>
      <w:r w:rsidRPr="00C14EEC">
        <w:rPr>
          <w:rFonts w:ascii="Times New Roman" w:hAnsi="Times New Roman"/>
          <w:b/>
          <w:sz w:val="24"/>
          <w:szCs w:val="24"/>
        </w:rPr>
        <w:tab/>
        <w:t>Delayed payments</w:t>
      </w:r>
    </w:p>
    <w:p w14:paraId="3A44BE81" w14:textId="77777777" w:rsidR="00AA2F0E" w:rsidRPr="00C14EEC" w:rsidRDefault="00AA2F0E" w:rsidP="00AA2F0E">
      <w:pPr>
        <w:autoSpaceDE w:val="0"/>
        <w:autoSpaceDN w:val="0"/>
        <w:adjustRightInd w:val="0"/>
        <w:ind w:left="1134" w:hanging="709"/>
        <w:jc w:val="both"/>
        <w:rPr>
          <w:rFonts w:ascii="Times New Roman" w:hAnsi="Times New Roman"/>
          <w:snapToGrid/>
          <w:sz w:val="22"/>
          <w:szCs w:val="22"/>
          <w:lang w:eastAsia="en-GB"/>
        </w:rPr>
      </w:pPr>
      <w:r w:rsidRPr="00C14EEC">
        <w:rPr>
          <w:rFonts w:ascii="Times New Roman" w:hAnsi="Times New Roman"/>
          <w:sz w:val="22"/>
          <w:szCs w:val="22"/>
        </w:rPr>
        <w:t>28.2</w:t>
      </w:r>
      <w:r w:rsidRPr="00C14EEC">
        <w:rPr>
          <w:rFonts w:ascii="Times New Roman" w:hAnsi="Times New Roman"/>
          <w:b/>
          <w:sz w:val="22"/>
          <w:szCs w:val="22"/>
        </w:rPr>
        <w:tab/>
      </w:r>
      <w:r w:rsidRPr="00C14EEC">
        <w:rPr>
          <w:rFonts w:ascii="Times New Roman" w:hAnsi="Times New Roman"/>
          <w:snapToGrid/>
          <w:sz w:val="22"/>
          <w:szCs w:val="22"/>
          <w:lang w:eastAsia="en-GB"/>
        </w:rPr>
        <w:t>By derogation from Article 28.2 of the General Conditions, o</w:t>
      </w:r>
      <w:r w:rsidRPr="00C14EEC">
        <w:rPr>
          <w:rFonts w:ascii="Times New Roman" w:hAnsi="Times New Roman"/>
          <w:sz w:val="22"/>
          <w:szCs w:val="22"/>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14:paraId="7A4D226B" w14:textId="77777777" w:rsidR="00AA2F0E" w:rsidRPr="00C14EEC" w:rsidRDefault="00AA2F0E" w:rsidP="00AA2F0E">
      <w:pPr>
        <w:spacing w:before="240"/>
        <w:ind w:left="1134" w:hanging="1134"/>
        <w:jc w:val="both"/>
        <w:rPr>
          <w:rFonts w:ascii="Times New Roman" w:hAnsi="Times New Roman"/>
          <w:b/>
          <w:sz w:val="24"/>
          <w:szCs w:val="24"/>
        </w:rPr>
      </w:pPr>
      <w:r w:rsidRPr="00C14EEC">
        <w:rPr>
          <w:rFonts w:ascii="Times New Roman" w:hAnsi="Times New Roman"/>
          <w:b/>
          <w:sz w:val="24"/>
          <w:szCs w:val="24"/>
        </w:rPr>
        <w:t>Article 29</w:t>
      </w:r>
      <w:r w:rsidRPr="00C14EEC">
        <w:rPr>
          <w:rFonts w:ascii="Times New Roman" w:hAnsi="Times New Roman"/>
          <w:b/>
          <w:sz w:val="24"/>
          <w:szCs w:val="24"/>
        </w:rPr>
        <w:tab/>
        <w:t>Delivery</w:t>
      </w:r>
      <w:bookmarkEnd w:id="18"/>
    </w:p>
    <w:p w14:paraId="7C2E4E9D" w14:textId="77777777" w:rsidR="00AA2F0E" w:rsidRPr="00C14EEC" w:rsidRDefault="00AA2F0E" w:rsidP="00AA2F0E">
      <w:pPr>
        <w:ind w:left="1134" w:hanging="709"/>
        <w:jc w:val="both"/>
        <w:rPr>
          <w:rFonts w:ascii="Times New Roman" w:hAnsi="Times New Roman"/>
          <w:sz w:val="22"/>
          <w:szCs w:val="22"/>
        </w:rPr>
      </w:pPr>
      <w:r w:rsidRPr="00C14EEC">
        <w:rPr>
          <w:rFonts w:ascii="Times New Roman" w:hAnsi="Times New Roman"/>
          <w:sz w:val="22"/>
          <w:szCs w:val="22"/>
        </w:rPr>
        <w:t>29.3</w:t>
      </w:r>
      <w:r w:rsidRPr="00C14EEC">
        <w:rPr>
          <w:rFonts w:ascii="Times New Roman" w:hAnsi="Times New Roman"/>
          <w:b/>
          <w:sz w:val="22"/>
          <w:szCs w:val="22"/>
        </w:rPr>
        <w:tab/>
      </w:r>
      <w:r w:rsidRPr="00C14EEC">
        <w:rPr>
          <w:rFonts w:ascii="Times New Roman" w:hAnsi="Times New Roman"/>
          <w:sz w:val="22"/>
          <w:szCs w:val="22"/>
        </w:rPr>
        <w:t>The packaging shall become the property of the recipient subject to environmental considerations.</w:t>
      </w:r>
    </w:p>
    <w:p w14:paraId="178AE508" w14:textId="77777777" w:rsidR="00AA2F0E" w:rsidRPr="00C14EEC" w:rsidRDefault="00AA2F0E" w:rsidP="00AA2F0E">
      <w:pPr>
        <w:ind w:left="1134" w:hanging="1134"/>
        <w:jc w:val="both"/>
        <w:rPr>
          <w:rFonts w:ascii="Times New Roman" w:hAnsi="Times New Roman"/>
          <w:sz w:val="22"/>
          <w:szCs w:val="22"/>
        </w:rPr>
      </w:pPr>
      <w:r w:rsidRPr="00C14EEC">
        <w:rPr>
          <w:rFonts w:ascii="Times New Roman" w:hAnsi="Times New Roman"/>
          <w:sz w:val="22"/>
          <w:szCs w:val="22"/>
        </w:rPr>
        <w:t>29.5/6/7</w:t>
      </w:r>
      <w:r w:rsidRPr="00C14EEC">
        <w:rPr>
          <w:rFonts w:ascii="Times New Roman" w:hAnsi="Times New Roman"/>
          <w:sz w:val="22"/>
          <w:szCs w:val="22"/>
        </w:rPr>
        <w:tab/>
        <w:t>Delivery needs to be accompanied by usual documents and manuals foreseen by the manufacturing firm.</w:t>
      </w:r>
    </w:p>
    <w:p w14:paraId="46813175" w14:textId="77777777" w:rsidR="00AA2F0E" w:rsidRPr="00C14EEC" w:rsidRDefault="00AA2F0E" w:rsidP="00AA2F0E">
      <w:pPr>
        <w:spacing w:before="240"/>
        <w:ind w:left="1134" w:hanging="1134"/>
        <w:jc w:val="both"/>
        <w:rPr>
          <w:rFonts w:ascii="Times New Roman" w:hAnsi="Times New Roman"/>
          <w:b/>
          <w:sz w:val="24"/>
          <w:szCs w:val="24"/>
        </w:rPr>
      </w:pPr>
      <w:bookmarkStart w:id="19" w:name="_Toc124934914"/>
      <w:r w:rsidRPr="00C14EEC">
        <w:rPr>
          <w:rFonts w:ascii="Times New Roman" w:hAnsi="Times New Roman"/>
          <w:b/>
          <w:sz w:val="24"/>
          <w:szCs w:val="24"/>
        </w:rPr>
        <w:t>Article 31</w:t>
      </w:r>
      <w:r w:rsidRPr="00C14EEC">
        <w:rPr>
          <w:rFonts w:ascii="Times New Roman" w:hAnsi="Times New Roman"/>
          <w:b/>
          <w:sz w:val="24"/>
          <w:szCs w:val="24"/>
        </w:rPr>
        <w:tab/>
        <w:t>Provisional acceptance</w:t>
      </w:r>
      <w:bookmarkEnd w:id="19"/>
    </w:p>
    <w:p w14:paraId="65532F44" w14:textId="77777777" w:rsidR="00AA2F0E" w:rsidRPr="00C14EEC" w:rsidRDefault="00AA2F0E" w:rsidP="00AA2F0E">
      <w:pPr>
        <w:jc w:val="both"/>
        <w:rPr>
          <w:rFonts w:ascii="Times New Roman" w:hAnsi="Times New Roman"/>
          <w:sz w:val="22"/>
          <w:szCs w:val="22"/>
        </w:rPr>
      </w:pPr>
      <w:r w:rsidRPr="00C14EEC">
        <w:rPr>
          <w:rFonts w:ascii="Times New Roman" w:hAnsi="Times New Roman"/>
          <w:sz w:val="22"/>
          <w:szCs w:val="22"/>
        </w:rPr>
        <w:t xml:space="preserve">The certificate of provisional acceptance must be issued using the template in Annex C11. </w:t>
      </w:r>
    </w:p>
    <w:p w14:paraId="434934C5" w14:textId="4CD44318" w:rsidR="00AA2F0E" w:rsidRPr="00C14EEC" w:rsidRDefault="00AA2F0E" w:rsidP="00AA2F0E">
      <w:pPr>
        <w:ind w:left="1134" w:hanging="708"/>
        <w:jc w:val="both"/>
        <w:rPr>
          <w:rFonts w:ascii="Times New Roman" w:hAnsi="Times New Roman"/>
          <w:sz w:val="22"/>
          <w:szCs w:val="22"/>
        </w:rPr>
      </w:pPr>
      <w:r w:rsidRPr="00C14EEC">
        <w:rPr>
          <w:rFonts w:ascii="Times New Roman" w:hAnsi="Times New Roman"/>
          <w:sz w:val="22"/>
          <w:szCs w:val="22"/>
        </w:rPr>
        <w:t>31.2.</w:t>
      </w:r>
      <w:r w:rsidRPr="00C14EEC">
        <w:rPr>
          <w:rFonts w:ascii="Times New Roman" w:hAnsi="Times New Roman"/>
          <w:sz w:val="22"/>
          <w:szCs w:val="22"/>
        </w:rPr>
        <w:tab/>
        <w:t xml:space="preserve">By derogation from Article 31.2, second paragraph, the contracting authority’s time limit for issuing the certificate of provisional acceptance to the contractor shall not be considered included in the time limit for payments indicated in Article 26.3. </w:t>
      </w:r>
    </w:p>
    <w:p w14:paraId="6A7A4713" w14:textId="77777777" w:rsidR="00AA2F0E" w:rsidRPr="00C14EEC" w:rsidRDefault="00AA2F0E" w:rsidP="00AA2F0E">
      <w:pPr>
        <w:spacing w:before="240"/>
        <w:ind w:left="1134" w:hanging="1134"/>
        <w:jc w:val="both"/>
        <w:rPr>
          <w:rFonts w:ascii="Times New Roman" w:hAnsi="Times New Roman"/>
          <w:b/>
          <w:sz w:val="24"/>
          <w:szCs w:val="24"/>
        </w:rPr>
      </w:pPr>
      <w:bookmarkStart w:id="20" w:name="_Toc124934915"/>
      <w:r w:rsidRPr="00C14EEC">
        <w:rPr>
          <w:rFonts w:ascii="Times New Roman" w:hAnsi="Times New Roman"/>
          <w:b/>
          <w:sz w:val="24"/>
          <w:szCs w:val="24"/>
        </w:rPr>
        <w:t>Article 32</w:t>
      </w:r>
      <w:r w:rsidRPr="00C14EEC">
        <w:rPr>
          <w:rFonts w:ascii="Times New Roman" w:hAnsi="Times New Roman"/>
          <w:b/>
          <w:sz w:val="24"/>
          <w:szCs w:val="24"/>
        </w:rPr>
        <w:tab/>
        <w:t>Warranty</w:t>
      </w:r>
      <w:bookmarkEnd w:id="20"/>
      <w:r w:rsidRPr="00C14EEC">
        <w:rPr>
          <w:rFonts w:ascii="Times New Roman" w:hAnsi="Times New Roman"/>
          <w:b/>
          <w:sz w:val="24"/>
          <w:szCs w:val="24"/>
        </w:rPr>
        <w:t xml:space="preserve"> obligations</w:t>
      </w:r>
    </w:p>
    <w:p w14:paraId="7005981D" w14:textId="77777777" w:rsidR="00AA2F0E" w:rsidRPr="00C14EEC" w:rsidRDefault="00AA2F0E" w:rsidP="00AA2F0E">
      <w:pPr>
        <w:ind w:left="1134" w:hanging="708"/>
        <w:jc w:val="both"/>
        <w:rPr>
          <w:rFonts w:ascii="Times New Roman" w:hAnsi="Times New Roman"/>
          <w:sz w:val="22"/>
          <w:szCs w:val="22"/>
        </w:rPr>
      </w:pPr>
      <w:r w:rsidRPr="00C14EEC">
        <w:rPr>
          <w:rFonts w:ascii="Times New Roman" w:hAnsi="Times New Roman"/>
          <w:sz w:val="22"/>
          <w:szCs w:val="22"/>
        </w:rPr>
        <w:t>32.6</w:t>
      </w:r>
      <w:r w:rsidRPr="00C14EEC">
        <w:rPr>
          <w:rFonts w:ascii="Times New Roman" w:hAnsi="Times New Roman"/>
          <w:sz w:val="22"/>
          <w:szCs w:val="22"/>
        </w:rPr>
        <w:tab/>
        <w:t>The contractor shall warrant that the supplies are new, unused, of most recent models and incorporate all recent improvements in design and materials. The contractor shall further warrant that none of the supplies have any defect arising from design materials or workmanship. This warranty shall remain valid for one year after provisional acceptance and any defects identified during the warranty period will be referred to the contractor for correction at his own cost.</w:t>
      </w:r>
    </w:p>
    <w:p w14:paraId="21A9862D" w14:textId="77777777" w:rsidR="00AA2F0E" w:rsidRPr="00C14EEC" w:rsidRDefault="00AA2F0E" w:rsidP="00AA2F0E">
      <w:pPr>
        <w:ind w:left="1134" w:hanging="708"/>
        <w:jc w:val="both"/>
        <w:rPr>
          <w:rFonts w:ascii="Times New Roman" w:hAnsi="Times New Roman"/>
          <w:sz w:val="22"/>
          <w:szCs w:val="22"/>
        </w:rPr>
      </w:pPr>
      <w:r w:rsidRPr="00C14EEC">
        <w:rPr>
          <w:rFonts w:ascii="Times New Roman" w:hAnsi="Times New Roman"/>
          <w:sz w:val="22"/>
          <w:szCs w:val="22"/>
        </w:rPr>
        <w:t>32.7</w:t>
      </w:r>
      <w:r w:rsidRPr="00C14EEC">
        <w:rPr>
          <w:rFonts w:ascii="Times New Roman" w:hAnsi="Times New Roman"/>
          <w:sz w:val="22"/>
          <w:szCs w:val="22"/>
        </w:rPr>
        <w:tab/>
        <w:t xml:space="preserve">The warranty must remain valid for 365 days (1 year) after provisional acceptance. </w:t>
      </w:r>
    </w:p>
    <w:p w14:paraId="7F8D26B7" w14:textId="77777777" w:rsidR="00AA2F0E" w:rsidRPr="00C14EEC" w:rsidRDefault="00AA2F0E" w:rsidP="00AA2F0E">
      <w:pPr>
        <w:keepNext/>
        <w:spacing w:before="240"/>
        <w:ind w:left="1134" w:hanging="1134"/>
        <w:jc w:val="both"/>
        <w:rPr>
          <w:rFonts w:ascii="Times New Roman" w:hAnsi="Times New Roman"/>
          <w:b/>
          <w:sz w:val="24"/>
          <w:szCs w:val="24"/>
        </w:rPr>
      </w:pPr>
      <w:bookmarkStart w:id="21" w:name="_Toc119839451"/>
      <w:bookmarkStart w:id="22" w:name="_Toc124934916"/>
      <w:r w:rsidRPr="00C14EEC">
        <w:rPr>
          <w:rFonts w:ascii="Times New Roman" w:hAnsi="Times New Roman"/>
          <w:b/>
          <w:sz w:val="24"/>
          <w:szCs w:val="24"/>
        </w:rPr>
        <w:lastRenderedPageBreak/>
        <w:t>Article 33</w:t>
      </w:r>
      <w:r w:rsidRPr="00C14EEC">
        <w:rPr>
          <w:rFonts w:ascii="Times New Roman" w:hAnsi="Times New Roman"/>
          <w:b/>
          <w:sz w:val="24"/>
          <w:szCs w:val="24"/>
        </w:rPr>
        <w:tab/>
        <w:t>After-sales service</w:t>
      </w:r>
      <w:bookmarkEnd w:id="21"/>
      <w:bookmarkEnd w:id="22"/>
    </w:p>
    <w:p w14:paraId="6513276D" w14:textId="77777777" w:rsidR="00AA2F0E" w:rsidRDefault="00AA2F0E" w:rsidP="00AA2F0E">
      <w:pPr>
        <w:ind w:left="1134" w:hanging="708"/>
        <w:jc w:val="both"/>
        <w:rPr>
          <w:rFonts w:ascii="Times New Roman" w:hAnsi="Times New Roman"/>
          <w:sz w:val="22"/>
          <w:szCs w:val="22"/>
        </w:rPr>
      </w:pPr>
      <w:r w:rsidRPr="00C14EEC">
        <w:rPr>
          <w:rFonts w:ascii="Times New Roman" w:hAnsi="Times New Roman"/>
          <w:sz w:val="22"/>
          <w:szCs w:val="22"/>
        </w:rPr>
        <w:t>33.1</w:t>
      </w:r>
      <w:r w:rsidRPr="00C14EEC">
        <w:rPr>
          <w:rFonts w:ascii="Times New Roman" w:hAnsi="Times New Roman"/>
          <w:sz w:val="22"/>
          <w:szCs w:val="22"/>
        </w:rPr>
        <w:tab/>
        <w:t>.</w:t>
      </w:r>
      <w:r w:rsidRPr="00AE4BAC">
        <w:t xml:space="preserve"> </w:t>
      </w:r>
      <w:r w:rsidRPr="00AE4BAC">
        <w:rPr>
          <w:rFonts w:ascii="Times New Roman" w:hAnsi="Times New Roman"/>
          <w:sz w:val="22"/>
          <w:szCs w:val="22"/>
        </w:rPr>
        <w:t>The Contractor shall provide or secure the provision for two (2) years of reliable</w:t>
      </w:r>
      <w:r>
        <w:rPr>
          <w:rFonts w:ascii="Times New Roman" w:hAnsi="Times New Roman"/>
          <w:sz w:val="22"/>
          <w:szCs w:val="22"/>
        </w:rPr>
        <w:t xml:space="preserve"> </w:t>
      </w:r>
      <w:r w:rsidRPr="00AE4BAC">
        <w:rPr>
          <w:rFonts w:ascii="Times New Roman" w:hAnsi="Times New Roman"/>
          <w:sz w:val="22"/>
          <w:szCs w:val="22"/>
        </w:rPr>
        <w:t>and regular after-sales and maintenance service of the motor vehicles and motorcycles. The Contractor shall also state in detail how it is proposed to meet this</w:t>
      </w:r>
      <w:r>
        <w:rPr>
          <w:rFonts w:ascii="Times New Roman" w:hAnsi="Times New Roman"/>
          <w:sz w:val="22"/>
          <w:szCs w:val="22"/>
        </w:rPr>
        <w:t xml:space="preserve"> </w:t>
      </w:r>
      <w:r w:rsidRPr="00AE4BAC">
        <w:rPr>
          <w:rFonts w:ascii="Times New Roman" w:hAnsi="Times New Roman"/>
          <w:sz w:val="22"/>
          <w:szCs w:val="22"/>
        </w:rPr>
        <w:t>obligation, including the duration for which the service is guaranteed available</w:t>
      </w:r>
      <w:r>
        <w:rPr>
          <w:rFonts w:ascii="Times New Roman" w:hAnsi="Times New Roman"/>
          <w:sz w:val="22"/>
          <w:szCs w:val="22"/>
        </w:rPr>
        <w:t xml:space="preserve"> </w:t>
      </w:r>
      <w:r w:rsidRPr="00AE4BAC">
        <w:rPr>
          <w:rFonts w:ascii="Times New Roman" w:hAnsi="Times New Roman"/>
          <w:sz w:val="22"/>
          <w:szCs w:val="22"/>
        </w:rPr>
        <w:t>beyond this initial mandatory period of 2 years.</w:t>
      </w:r>
      <w:r>
        <w:rPr>
          <w:rFonts w:ascii="Times New Roman" w:hAnsi="Times New Roman"/>
          <w:sz w:val="22"/>
          <w:szCs w:val="22"/>
        </w:rPr>
        <w:t xml:space="preserve"> </w:t>
      </w:r>
    </w:p>
    <w:p w14:paraId="2ADC5EA2" w14:textId="77777777" w:rsidR="00AA2F0E" w:rsidRPr="00AE4BAC" w:rsidRDefault="00AA2F0E" w:rsidP="00AA2F0E">
      <w:pPr>
        <w:ind w:left="1134"/>
        <w:jc w:val="both"/>
        <w:rPr>
          <w:rFonts w:ascii="Times New Roman" w:hAnsi="Times New Roman"/>
          <w:sz w:val="22"/>
          <w:szCs w:val="22"/>
        </w:rPr>
      </w:pPr>
      <w:r w:rsidRPr="00AE4BAC">
        <w:rPr>
          <w:rFonts w:ascii="Times New Roman" w:hAnsi="Times New Roman"/>
          <w:sz w:val="22"/>
          <w:szCs w:val="22"/>
        </w:rPr>
        <w:t>The Contractor shall include a pre-delivery service done in Uganda in the</w:t>
      </w:r>
      <w:r>
        <w:rPr>
          <w:rFonts w:ascii="Times New Roman" w:hAnsi="Times New Roman"/>
          <w:sz w:val="22"/>
          <w:szCs w:val="22"/>
        </w:rPr>
        <w:t xml:space="preserve"> </w:t>
      </w:r>
      <w:r w:rsidRPr="00AE4BAC">
        <w:rPr>
          <w:rFonts w:ascii="Times New Roman" w:hAnsi="Times New Roman"/>
          <w:sz w:val="22"/>
          <w:szCs w:val="22"/>
        </w:rPr>
        <w:t>service record of the motor vehicles and motor cycles. Backup support shall be</w:t>
      </w:r>
      <w:r>
        <w:rPr>
          <w:rFonts w:ascii="Times New Roman" w:hAnsi="Times New Roman"/>
          <w:sz w:val="22"/>
          <w:szCs w:val="22"/>
        </w:rPr>
        <w:t xml:space="preserve"> </w:t>
      </w:r>
      <w:r w:rsidRPr="00AE4BAC">
        <w:rPr>
          <w:rFonts w:ascii="Times New Roman" w:hAnsi="Times New Roman"/>
          <w:sz w:val="22"/>
          <w:szCs w:val="22"/>
        </w:rPr>
        <w:t>available in Uganda throughout the period of warranty.</w:t>
      </w:r>
    </w:p>
    <w:p w14:paraId="6327451E" w14:textId="77777777" w:rsidR="00AA2F0E" w:rsidRPr="00AE4BAC" w:rsidRDefault="00AA2F0E" w:rsidP="00AA2F0E">
      <w:pPr>
        <w:ind w:left="1134"/>
        <w:jc w:val="both"/>
        <w:rPr>
          <w:rFonts w:ascii="Times New Roman" w:hAnsi="Times New Roman"/>
          <w:sz w:val="22"/>
          <w:szCs w:val="22"/>
        </w:rPr>
      </w:pPr>
      <w:r w:rsidRPr="00AE4BAC">
        <w:rPr>
          <w:rFonts w:ascii="Times New Roman" w:hAnsi="Times New Roman"/>
          <w:sz w:val="22"/>
          <w:szCs w:val="22"/>
        </w:rPr>
        <w:t>The Contractor is required to confirm in writing that they will provide technical</w:t>
      </w:r>
      <w:r>
        <w:rPr>
          <w:rFonts w:ascii="Times New Roman" w:hAnsi="Times New Roman"/>
          <w:sz w:val="22"/>
          <w:szCs w:val="22"/>
        </w:rPr>
        <w:t xml:space="preserve"> </w:t>
      </w:r>
      <w:r w:rsidRPr="00AE4BAC">
        <w:rPr>
          <w:rFonts w:ascii="Times New Roman" w:hAnsi="Times New Roman"/>
          <w:sz w:val="22"/>
          <w:szCs w:val="22"/>
        </w:rPr>
        <w:t>support and after sales service for the motor vehicles and motor cycles.</w:t>
      </w:r>
    </w:p>
    <w:p w14:paraId="749368B0" w14:textId="77777777" w:rsidR="00AA2F0E" w:rsidRPr="00C14EEC" w:rsidRDefault="00AA2F0E" w:rsidP="00AA2F0E">
      <w:pPr>
        <w:ind w:left="1134"/>
        <w:jc w:val="both"/>
        <w:rPr>
          <w:rFonts w:ascii="Times New Roman" w:hAnsi="Times New Roman"/>
          <w:sz w:val="22"/>
          <w:szCs w:val="22"/>
        </w:rPr>
      </w:pPr>
      <w:r w:rsidRPr="00AE4BAC">
        <w:rPr>
          <w:rFonts w:ascii="Times New Roman" w:hAnsi="Times New Roman"/>
          <w:sz w:val="22"/>
          <w:szCs w:val="22"/>
        </w:rPr>
        <w:t>The minimum required standard related to after-sales services is quick</w:t>
      </w:r>
      <w:r>
        <w:rPr>
          <w:rFonts w:ascii="Times New Roman" w:hAnsi="Times New Roman"/>
          <w:sz w:val="22"/>
          <w:szCs w:val="22"/>
        </w:rPr>
        <w:t xml:space="preserve"> </w:t>
      </w:r>
      <w:r w:rsidRPr="00AE4BAC">
        <w:rPr>
          <w:rFonts w:ascii="Times New Roman" w:hAnsi="Times New Roman"/>
          <w:sz w:val="22"/>
          <w:szCs w:val="22"/>
        </w:rPr>
        <w:t>availability to those parts, which according to the Contractor’s experience</w:t>
      </w:r>
    </w:p>
    <w:p w14:paraId="56240B24" w14:textId="77777777" w:rsidR="00AA2F0E" w:rsidRPr="00C14EEC" w:rsidRDefault="00AA2F0E" w:rsidP="00AA2F0E">
      <w:pPr>
        <w:spacing w:before="240"/>
        <w:ind w:left="1134" w:hanging="1134"/>
        <w:jc w:val="both"/>
        <w:rPr>
          <w:rFonts w:ascii="Times New Roman" w:hAnsi="Times New Roman"/>
          <w:b/>
          <w:sz w:val="24"/>
          <w:szCs w:val="24"/>
        </w:rPr>
      </w:pPr>
      <w:bookmarkStart w:id="23" w:name="_Toc124934917"/>
      <w:r w:rsidRPr="00C14EEC">
        <w:rPr>
          <w:rFonts w:ascii="Times New Roman" w:hAnsi="Times New Roman"/>
          <w:b/>
          <w:sz w:val="24"/>
          <w:szCs w:val="24"/>
        </w:rPr>
        <w:t>Article 40</w:t>
      </w:r>
      <w:r w:rsidRPr="00C14EEC">
        <w:rPr>
          <w:rFonts w:ascii="Times New Roman" w:hAnsi="Times New Roman"/>
          <w:b/>
          <w:sz w:val="24"/>
          <w:szCs w:val="24"/>
        </w:rPr>
        <w:tab/>
        <w:t>Settlement of disputes</w:t>
      </w:r>
      <w:bookmarkEnd w:id="23"/>
    </w:p>
    <w:p w14:paraId="3FCC50CD" w14:textId="77777777" w:rsidR="00AA2F0E" w:rsidRPr="00C14EEC" w:rsidRDefault="00AA2F0E" w:rsidP="00AA2F0E">
      <w:pPr>
        <w:ind w:left="1134" w:hanging="708"/>
        <w:jc w:val="both"/>
        <w:rPr>
          <w:rFonts w:ascii="Times New Roman" w:hAnsi="Times New Roman"/>
          <w:sz w:val="22"/>
          <w:szCs w:val="22"/>
        </w:rPr>
      </w:pPr>
      <w:r w:rsidRPr="00C14EEC">
        <w:rPr>
          <w:rFonts w:ascii="Times New Roman" w:hAnsi="Times New Roman"/>
          <w:sz w:val="22"/>
          <w:szCs w:val="22"/>
        </w:rPr>
        <w:t>40.4</w:t>
      </w:r>
      <w:r w:rsidRPr="00C14EEC">
        <w:rPr>
          <w:rFonts w:ascii="Times New Roman" w:hAnsi="Times New Roman"/>
          <w:sz w:val="22"/>
          <w:szCs w:val="22"/>
        </w:rPr>
        <w:tab/>
        <w:t>Any dispute arising out of or relating to this contract which cannot be settled otherwise shall:</w:t>
      </w:r>
    </w:p>
    <w:p w14:paraId="1C449175" w14:textId="77777777" w:rsidR="00AA2F0E" w:rsidRPr="00C14EEC" w:rsidRDefault="00AA2F0E" w:rsidP="00AA2F0E">
      <w:pPr>
        <w:ind w:left="1560" w:hanging="426"/>
        <w:rPr>
          <w:rFonts w:ascii="Times New Roman" w:hAnsi="Times New Roman"/>
          <w:sz w:val="22"/>
          <w:szCs w:val="22"/>
        </w:rPr>
      </w:pPr>
      <w:r w:rsidRPr="00C14EEC">
        <w:rPr>
          <w:rFonts w:ascii="Times New Roman" w:hAnsi="Times New Roman"/>
          <w:sz w:val="22"/>
          <w:szCs w:val="22"/>
        </w:rPr>
        <w:t>(a)</w:t>
      </w:r>
      <w:r w:rsidRPr="00C14EEC">
        <w:rPr>
          <w:rFonts w:ascii="Times New Roman" w:hAnsi="Times New Roman"/>
          <w:sz w:val="22"/>
          <w:szCs w:val="22"/>
        </w:rPr>
        <w:tab/>
        <w:t>in the case of a national contract, be settled in accordance with the national legislation of the state of the contracting authority; and</w:t>
      </w:r>
    </w:p>
    <w:p w14:paraId="0D8CE5D6" w14:textId="77777777" w:rsidR="00AA2F0E" w:rsidRPr="00C14EEC" w:rsidRDefault="00AA2F0E" w:rsidP="00AA2F0E">
      <w:pPr>
        <w:ind w:left="1560" w:hanging="426"/>
        <w:rPr>
          <w:rFonts w:ascii="Times New Roman" w:hAnsi="Times New Roman"/>
          <w:sz w:val="22"/>
          <w:szCs w:val="22"/>
        </w:rPr>
      </w:pPr>
      <w:r w:rsidRPr="00C14EEC">
        <w:rPr>
          <w:rFonts w:ascii="Times New Roman" w:hAnsi="Times New Roman"/>
          <w:sz w:val="22"/>
          <w:szCs w:val="22"/>
        </w:rPr>
        <w:t>(b)</w:t>
      </w:r>
      <w:r w:rsidRPr="00C14EEC">
        <w:rPr>
          <w:rFonts w:ascii="Times New Roman" w:hAnsi="Times New Roman"/>
          <w:sz w:val="22"/>
          <w:szCs w:val="22"/>
        </w:rPr>
        <w:tab/>
        <w:t>in the case of a transnational contract, be settled either:</w:t>
      </w:r>
    </w:p>
    <w:p w14:paraId="7159FC49" w14:textId="77777777" w:rsidR="00AA2F0E" w:rsidRPr="00C14EEC" w:rsidRDefault="00AA2F0E" w:rsidP="00AA2F0E">
      <w:pPr>
        <w:tabs>
          <w:tab w:val="left" w:pos="2835"/>
        </w:tabs>
        <w:ind w:left="1985" w:hanging="425"/>
        <w:rPr>
          <w:rFonts w:ascii="Times New Roman" w:hAnsi="Times New Roman"/>
          <w:sz w:val="22"/>
          <w:szCs w:val="22"/>
        </w:rPr>
      </w:pPr>
      <w:r w:rsidRPr="00C14EEC">
        <w:rPr>
          <w:rFonts w:ascii="Times New Roman" w:hAnsi="Times New Roman"/>
          <w:sz w:val="22"/>
          <w:szCs w:val="22"/>
        </w:rPr>
        <w:t>(i)</w:t>
      </w:r>
      <w:r w:rsidRPr="00C14EEC">
        <w:rPr>
          <w:rFonts w:ascii="Times New Roman" w:hAnsi="Times New Roman"/>
          <w:sz w:val="22"/>
          <w:szCs w:val="22"/>
        </w:rPr>
        <w:tab/>
        <w:t>if the parties to the contract so agree, in accordance with the national legislation of the state of the contracting authority or its established international practices; or</w:t>
      </w:r>
    </w:p>
    <w:p w14:paraId="2430698B" w14:textId="77777777" w:rsidR="00AA2F0E" w:rsidRPr="00C14EEC" w:rsidRDefault="00AA2F0E" w:rsidP="00AA2F0E">
      <w:pPr>
        <w:autoSpaceDE w:val="0"/>
        <w:autoSpaceDN w:val="0"/>
        <w:adjustRightInd w:val="0"/>
        <w:ind w:left="1985" w:hanging="425"/>
        <w:jc w:val="both"/>
        <w:rPr>
          <w:rFonts w:ascii="Times New Roman" w:hAnsi="Times New Roman"/>
          <w:sz w:val="22"/>
          <w:szCs w:val="22"/>
          <w:lang w:bidi="kn-IN"/>
        </w:rPr>
      </w:pPr>
      <w:r w:rsidRPr="00C14EEC">
        <w:rPr>
          <w:rFonts w:ascii="Times New Roman" w:hAnsi="Times New Roman"/>
          <w:sz w:val="22"/>
          <w:szCs w:val="22"/>
        </w:rPr>
        <w:t>(ii)</w:t>
      </w:r>
      <w:r w:rsidRPr="00C14EEC">
        <w:rPr>
          <w:rFonts w:ascii="Times New Roman" w:hAnsi="Times New Roman"/>
          <w:sz w:val="22"/>
          <w:szCs w:val="22"/>
        </w:rPr>
        <w:tab/>
        <w:t xml:space="preserve">by arbitration in accordance with the procedural rules on conciliation and arbitration of contracts financed by the European Development Fund, adopted by Decision 3/90 of the ACP-EEC Council of Ministers of 29 March 1990 (Official </w:t>
      </w:r>
      <w:r>
        <w:rPr>
          <w:rFonts w:ascii="Times New Roman" w:hAnsi="Times New Roman"/>
          <w:sz w:val="22"/>
          <w:szCs w:val="22"/>
        </w:rPr>
        <w:t xml:space="preserve">Journal No L 382, 31.12.1990, </w:t>
      </w:r>
      <w:r w:rsidRPr="00C14EEC">
        <w:rPr>
          <w:rFonts w:ascii="Times New Roman" w:hAnsi="Times New Roman"/>
          <w:sz w:val="22"/>
          <w:szCs w:val="22"/>
        </w:rPr>
        <w:t>Annex a12 to the practical guide</w:t>
      </w:r>
      <w:r>
        <w:rPr>
          <w:rFonts w:ascii="Times New Roman" w:hAnsi="Times New Roman"/>
          <w:sz w:val="22"/>
          <w:szCs w:val="22"/>
        </w:rPr>
        <w:t xml:space="preserve"> to the present contract)</w:t>
      </w:r>
      <w:r w:rsidRPr="00C14EEC">
        <w:rPr>
          <w:rFonts w:ascii="Times New Roman" w:hAnsi="Times New Roman"/>
          <w:sz w:val="22"/>
          <w:szCs w:val="22"/>
          <w:lang w:bidi="kn-IN"/>
        </w:rPr>
        <w:t>.</w:t>
      </w:r>
    </w:p>
    <w:p w14:paraId="704DB80F" w14:textId="77777777" w:rsidR="00AA2F0E" w:rsidRPr="00C14EEC" w:rsidRDefault="00AA2F0E" w:rsidP="00AA2F0E">
      <w:pPr>
        <w:keepNext/>
        <w:keepLines/>
        <w:tabs>
          <w:tab w:val="left" w:pos="1134"/>
        </w:tabs>
        <w:spacing w:before="240"/>
        <w:ind w:left="1134" w:hanging="1134"/>
        <w:rPr>
          <w:rFonts w:ascii="Times New Roman" w:hAnsi="Times New Roman"/>
          <w:b/>
          <w:sz w:val="24"/>
          <w:szCs w:val="24"/>
        </w:rPr>
      </w:pPr>
      <w:r w:rsidRPr="00C14EEC">
        <w:rPr>
          <w:rFonts w:ascii="Times New Roman" w:hAnsi="Times New Roman"/>
          <w:b/>
          <w:sz w:val="24"/>
          <w:szCs w:val="24"/>
        </w:rPr>
        <w:t>Article 44</w:t>
      </w:r>
      <w:r w:rsidRPr="00C14EEC">
        <w:rPr>
          <w:rFonts w:ascii="Times New Roman" w:hAnsi="Times New Roman"/>
          <w:b/>
          <w:sz w:val="24"/>
          <w:szCs w:val="24"/>
        </w:rPr>
        <w:tab/>
        <w:t>Data protection</w:t>
      </w:r>
    </w:p>
    <w:p w14:paraId="709B0AFC" w14:textId="77777777" w:rsidR="00AA2F0E" w:rsidRPr="00AA2F0E" w:rsidRDefault="00AA2F0E" w:rsidP="00AA2F0E">
      <w:pPr>
        <w:jc w:val="both"/>
        <w:rPr>
          <w:rFonts w:ascii="Times New Roman" w:hAnsi="Times New Roman"/>
          <w:sz w:val="22"/>
          <w:szCs w:val="22"/>
        </w:rPr>
      </w:pPr>
      <w:r w:rsidRPr="00AA2F0E">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07016959" w14:textId="77777777" w:rsidR="00AA2F0E" w:rsidRPr="00C14EEC" w:rsidRDefault="00AA2F0E" w:rsidP="00AA2F0E">
      <w:pPr>
        <w:spacing w:before="240"/>
        <w:jc w:val="both"/>
        <w:rPr>
          <w:rFonts w:ascii="Times New Roman" w:hAnsi="Times New Roman"/>
          <w:sz w:val="22"/>
          <w:szCs w:val="22"/>
        </w:rPr>
      </w:pPr>
      <w:r w:rsidRPr="00AA2F0E">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w:t>
      </w:r>
      <w:r w:rsidRPr="00AA2F0E">
        <w:rPr>
          <w:rFonts w:ascii="Times New Roman" w:hAnsi="Times New Roman"/>
          <w:sz w:val="22"/>
          <w:szCs w:val="22"/>
        </w:rPr>
        <w:lastRenderedPageBreak/>
        <w:t>45/2001 and Decision No 1247/2002/EC</w:t>
      </w:r>
      <w:r w:rsidRPr="00AA2F0E">
        <w:rPr>
          <w:rStyle w:val="FootnoteReference"/>
          <w:rFonts w:ascii="Times New Roman" w:hAnsi="Times New Roman"/>
          <w:sz w:val="22"/>
          <w:szCs w:val="22"/>
        </w:rPr>
        <w:footnoteReference w:id="2"/>
      </w:r>
      <w:r w:rsidRPr="00AA2F0E">
        <w:rPr>
          <w:rFonts w:ascii="Times New Roman" w:hAnsi="Times New Roman"/>
          <w:sz w:val="22"/>
          <w:szCs w:val="22"/>
        </w:rPr>
        <w:t xml:space="preserve"> and as detailed in the specific privacy statement published at ePRAG.</w:t>
      </w:r>
      <w:r w:rsidRPr="00C14EEC">
        <w:rPr>
          <w:rFonts w:ascii="Times New Roman" w:hAnsi="Times New Roman"/>
          <w:sz w:val="22"/>
          <w:szCs w:val="22"/>
        </w:rPr>
        <w:t xml:space="preserve"> </w:t>
      </w:r>
    </w:p>
    <w:p w14:paraId="5C33424A" w14:textId="77777777" w:rsidR="00AA2F0E" w:rsidRPr="00C14EEC" w:rsidRDefault="00AA2F0E" w:rsidP="00AA2F0E">
      <w:pPr>
        <w:spacing w:before="240" w:after="240"/>
        <w:ind w:left="1134" w:hanging="1134"/>
        <w:jc w:val="both"/>
        <w:rPr>
          <w:rFonts w:ascii="Times New Roman" w:hAnsi="Times New Roman"/>
          <w:b/>
          <w:snapToGrid/>
          <w:sz w:val="24"/>
          <w:szCs w:val="24"/>
        </w:rPr>
      </w:pPr>
      <w:r w:rsidRPr="00C14EEC">
        <w:rPr>
          <w:rFonts w:ascii="Times New Roman" w:hAnsi="Times New Roman"/>
          <w:b/>
          <w:snapToGrid/>
          <w:sz w:val="24"/>
          <w:szCs w:val="24"/>
        </w:rPr>
        <w:t>Article 45</w:t>
      </w:r>
      <w:r w:rsidRPr="00C14EEC">
        <w:rPr>
          <w:rFonts w:ascii="Times New Roman" w:hAnsi="Times New Roman"/>
          <w:b/>
          <w:snapToGrid/>
          <w:sz w:val="24"/>
          <w:szCs w:val="24"/>
        </w:rPr>
        <w:tab/>
        <w:t>Further additional clauses</w:t>
      </w:r>
    </w:p>
    <w:p w14:paraId="3582EB3F" w14:textId="77777777" w:rsidR="00AA2F0E" w:rsidRPr="00C14EEC" w:rsidRDefault="00AA2F0E" w:rsidP="00AA2F0E">
      <w:pPr>
        <w:spacing w:before="0" w:after="240"/>
        <w:jc w:val="both"/>
        <w:rPr>
          <w:rFonts w:ascii="Times New Roman" w:hAnsi="Times New Roman"/>
          <w:snapToGrid/>
          <w:sz w:val="22"/>
          <w:szCs w:val="22"/>
        </w:rPr>
      </w:pPr>
      <w:r w:rsidRPr="00C14EEC">
        <w:rPr>
          <w:rFonts w:ascii="Times New Roman" w:hAnsi="Times New Roman"/>
          <w:snapToGrid/>
          <w:sz w:val="22"/>
          <w:szCs w:val="22"/>
        </w:rPr>
        <w:t xml:space="preserve">Not applicable </w:t>
      </w:r>
    </w:p>
    <w:p w14:paraId="7A87ABF8" w14:textId="77777777" w:rsidR="00AA2F0E" w:rsidRPr="00C14EEC" w:rsidRDefault="00AA2F0E" w:rsidP="00AA2F0E">
      <w:pPr>
        <w:spacing w:before="360" w:after="100" w:afterAutospacing="1"/>
        <w:ind w:left="1984" w:hanging="425"/>
        <w:jc w:val="center"/>
        <w:rPr>
          <w:rFonts w:ascii="Times New Roman" w:hAnsi="Times New Roman"/>
          <w:snapToGrid/>
          <w:sz w:val="22"/>
          <w:szCs w:val="22"/>
        </w:rPr>
      </w:pPr>
      <w:r w:rsidRPr="00C14EEC">
        <w:rPr>
          <w:rFonts w:ascii="Times New Roman" w:hAnsi="Times New Roman"/>
          <w:snapToGrid/>
          <w:sz w:val="22"/>
          <w:szCs w:val="22"/>
        </w:rPr>
        <w:t>* * *</w:t>
      </w:r>
    </w:p>
    <w:p w14:paraId="41DD525D" w14:textId="77777777" w:rsidR="00AA2F0E" w:rsidRDefault="00AA2F0E" w:rsidP="00AA2F0E"/>
    <w:p w14:paraId="5A99CEF0" w14:textId="0F8A4D74" w:rsidR="001B55AC" w:rsidRPr="00AA2F0E" w:rsidRDefault="001B55AC" w:rsidP="00AA2F0E"/>
    <w:sectPr w:rsidR="001B55AC" w:rsidRPr="00AA2F0E" w:rsidSect="003D6B6C">
      <w:footerReference w:type="even" r:id="rId9"/>
      <w:footerReference w:type="default" r:id="rId10"/>
      <w:footerReference w:type="first" r:id="rId11"/>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5011" w14:textId="77777777" w:rsidR="0004651C" w:rsidRPr="006A5F84" w:rsidRDefault="0004651C">
      <w:r w:rsidRPr="006A5F84">
        <w:separator/>
      </w:r>
    </w:p>
  </w:endnote>
  <w:endnote w:type="continuationSeparator" w:id="0">
    <w:p w14:paraId="1F185DEF" w14:textId="77777777" w:rsidR="0004651C" w:rsidRPr="006A5F84" w:rsidRDefault="0004651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6168"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F4B71C" w14:textId="77777777" w:rsidR="00117ADA" w:rsidRDefault="00117ADA"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46167" w14:textId="77777777" w:rsidR="007E36E3" w:rsidRPr="00FE689C" w:rsidRDefault="00F4288C"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July</w:t>
    </w:r>
    <w:r w:rsidR="002E5532">
      <w:rPr>
        <w:rFonts w:ascii="Times New Roman" w:hAnsi="Times New Roman"/>
        <w:b/>
        <w:sz w:val="18"/>
        <w:szCs w:val="18"/>
        <w:lang w:val="en-GB"/>
      </w:rPr>
      <w:t xml:space="preserve"> </w:t>
    </w:r>
    <w:r w:rsidR="00391C12">
      <w:rPr>
        <w:rFonts w:ascii="Times New Roman" w:hAnsi="Times New Roman"/>
        <w:b/>
        <w:sz w:val="18"/>
        <w:szCs w:val="18"/>
        <w:lang w:val="en-GB"/>
      </w:rPr>
      <w:t>201</w:t>
    </w:r>
    <w:r>
      <w:rPr>
        <w:rFonts w:ascii="Times New Roman" w:hAnsi="Times New Roman"/>
        <w:b/>
        <w:sz w:val="18"/>
        <w:szCs w:val="18"/>
        <w:lang w:val="en-GB"/>
      </w:rPr>
      <w:t>9</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6058F3">
      <w:rPr>
        <w:rStyle w:val="PageNumber"/>
        <w:rFonts w:ascii="Times New Roman" w:hAnsi="Times New Roman"/>
        <w:noProof/>
        <w:sz w:val="18"/>
        <w:szCs w:val="18"/>
        <w:lang w:val="en-GB"/>
      </w:rPr>
      <w:t>2</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6058F3">
      <w:rPr>
        <w:rStyle w:val="PageNumber"/>
        <w:rFonts w:ascii="Times New Roman" w:hAnsi="Times New Roman"/>
        <w:noProof/>
        <w:sz w:val="18"/>
        <w:szCs w:val="18"/>
        <w:lang w:val="en-GB"/>
      </w:rPr>
      <w:t>6</w:t>
    </w:r>
    <w:r w:rsidR="007E36E3" w:rsidRPr="009423FB">
      <w:rPr>
        <w:rStyle w:val="PageNumber"/>
        <w:rFonts w:ascii="Times New Roman" w:hAnsi="Times New Roman"/>
        <w:sz w:val="18"/>
        <w:szCs w:val="18"/>
      </w:rPr>
      <w:fldChar w:fldCharType="end"/>
    </w:r>
  </w:p>
  <w:p w14:paraId="5B99AF17" w14:textId="49013EDA" w:rsidR="00117ADA" w:rsidRPr="007E36E3" w:rsidRDefault="00AA2F0E" w:rsidP="007E36E3">
    <w:pPr>
      <w:spacing w:before="0" w:after="0"/>
      <w:rPr>
        <w:rFonts w:ascii="Times New Roman" w:hAnsi="Times New Roman"/>
        <w:sz w:val="18"/>
        <w:szCs w:val="18"/>
      </w:rPr>
    </w:pPr>
    <w:bookmarkStart w:id="24" w:name="_Hlk39154247"/>
    <w:r>
      <w:rPr>
        <w:sz w:val="18"/>
        <w:szCs w:val="18"/>
      </w:rPr>
      <w:t>Publication Ref: FED/2018/397-425/MOBIP/SUP/20.01 – Supply of vehicles and motorcycles</w:t>
    </w:r>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1F1B"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56ED2965"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DDCB" w14:textId="77777777" w:rsidR="0004651C" w:rsidRPr="006A5F84" w:rsidRDefault="0004651C">
      <w:r w:rsidRPr="006A5F84">
        <w:separator/>
      </w:r>
    </w:p>
  </w:footnote>
  <w:footnote w:type="continuationSeparator" w:id="0">
    <w:p w14:paraId="5A03A502" w14:textId="77777777" w:rsidR="0004651C" w:rsidRPr="006A5F84" w:rsidRDefault="0004651C">
      <w:r w:rsidRPr="006A5F84">
        <w:continuationSeparator/>
      </w:r>
    </w:p>
  </w:footnote>
  <w:footnote w:id="1">
    <w:p w14:paraId="62AD8AA2" w14:textId="77777777" w:rsidR="00AA2F0E" w:rsidRPr="00C73F87" w:rsidRDefault="00AA2F0E" w:rsidP="00AA2F0E">
      <w:pPr>
        <w:pStyle w:val="FootnoteText"/>
        <w:rPr>
          <w:lang w:val="en-GB"/>
        </w:rPr>
      </w:pPr>
      <w:r w:rsidRPr="003D6B6C">
        <w:rPr>
          <w:rStyle w:val="FootnoteReference"/>
        </w:rPr>
        <w:footnoteRef/>
      </w:r>
      <w:r w:rsidRPr="00C73F87">
        <w:rPr>
          <w:lang w:val="en-GB"/>
        </w:rPr>
        <w:t xml:space="preserve"> See </w:t>
      </w:r>
      <w:hyperlink r:id="rId1" w:history="1">
        <w:r w:rsidRPr="00FC1D90">
          <w:rPr>
            <w:rStyle w:val="Hyperlink"/>
            <w:lang w:val="en-GB"/>
          </w:rPr>
          <w:t>http://www.iccwbo.org/products-and-services/trade-facilitation/incoterms-2010/the-incoterms-rules/</w:t>
        </w:r>
      </w:hyperlink>
      <w:r w:rsidRPr="00C73F87">
        <w:rPr>
          <w:lang w:val="en-GB"/>
        </w:rPr>
        <w:t>.</w:t>
      </w:r>
    </w:p>
  </w:footnote>
  <w:footnote w:id="2">
    <w:p w14:paraId="36AC4251" w14:textId="77777777" w:rsidR="00AA2F0E" w:rsidRDefault="00AA2F0E" w:rsidP="00AA2F0E">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0334D"/>
    <w:rsid w:val="00007C5B"/>
    <w:rsid w:val="00035D61"/>
    <w:rsid w:val="00040153"/>
    <w:rsid w:val="00040CF1"/>
    <w:rsid w:val="00041516"/>
    <w:rsid w:val="000417E2"/>
    <w:rsid w:val="00043159"/>
    <w:rsid w:val="0004517D"/>
    <w:rsid w:val="0004651C"/>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24F0"/>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B0129"/>
    <w:rsid w:val="005B083F"/>
    <w:rsid w:val="005B2018"/>
    <w:rsid w:val="005B3CAB"/>
    <w:rsid w:val="005C0EA1"/>
    <w:rsid w:val="005C36B8"/>
    <w:rsid w:val="005D0163"/>
    <w:rsid w:val="005D03AA"/>
    <w:rsid w:val="005D05B0"/>
    <w:rsid w:val="005D72F7"/>
    <w:rsid w:val="005F3C51"/>
    <w:rsid w:val="005F62D0"/>
    <w:rsid w:val="006058F3"/>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808CB"/>
    <w:rsid w:val="0088419E"/>
    <w:rsid w:val="008847D1"/>
    <w:rsid w:val="00884DDE"/>
    <w:rsid w:val="00885882"/>
    <w:rsid w:val="008859E6"/>
    <w:rsid w:val="008870C9"/>
    <w:rsid w:val="008923B0"/>
    <w:rsid w:val="00892CE9"/>
    <w:rsid w:val="008934F5"/>
    <w:rsid w:val="008A048D"/>
    <w:rsid w:val="008A0660"/>
    <w:rsid w:val="008A39B7"/>
    <w:rsid w:val="008A6DE2"/>
    <w:rsid w:val="008B5BDC"/>
    <w:rsid w:val="008C4E79"/>
    <w:rsid w:val="008C5A40"/>
    <w:rsid w:val="008C5DAA"/>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F12"/>
    <w:rsid w:val="00A1746F"/>
    <w:rsid w:val="00A2645C"/>
    <w:rsid w:val="00A41B28"/>
    <w:rsid w:val="00A5099A"/>
    <w:rsid w:val="00A512A5"/>
    <w:rsid w:val="00A512C9"/>
    <w:rsid w:val="00A539E4"/>
    <w:rsid w:val="00A56046"/>
    <w:rsid w:val="00A62073"/>
    <w:rsid w:val="00A63E3C"/>
    <w:rsid w:val="00A665A2"/>
    <w:rsid w:val="00A75650"/>
    <w:rsid w:val="00A76A6E"/>
    <w:rsid w:val="00A845B1"/>
    <w:rsid w:val="00A87E3D"/>
    <w:rsid w:val="00A90875"/>
    <w:rsid w:val="00A9597C"/>
    <w:rsid w:val="00AA24A4"/>
    <w:rsid w:val="00AA2F0E"/>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3F76"/>
    <w:rsid w:val="00CA6C68"/>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3081"/>
    <w:rsid w:val="00FE3E3B"/>
    <w:rsid w:val="00FE689C"/>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5BA7E"/>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334D-B499-459A-942D-67745A08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14104</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MBABAZI MARY CONCEPT</cp:lastModifiedBy>
  <cp:revision>3</cp:revision>
  <cp:lastPrinted>2014-02-11T14:32:00Z</cp:lastPrinted>
  <dcterms:created xsi:type="dcterms:W3CDTF">2020-04-30T14:04:00Z</dcterms:created>
  <dcterms:modified xsi:type="dcterms:W3CDTF">2020-06-17T07:46:00Z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