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B5035" w14:textId="77777777" w:rsidR="00D450A0" w:rsidRPr="00014AD5" w:rsidRDefault="00D450A0" w:rsidP="00D450A0">
      <w:pPr>
        <w:jc w:val="center"/>
        <w:rPr>
          <w:rFonts w:ascii="Times New Roman" w:hAnsi="Times New Roman"/>
        </w:rPr>
      </w:pPr>
      <w:r w:rsidRPr="00014AD5">
        <w:rPr>
          <w:rFonts w:ascii="Times New Roman" w:hAnsi="Times New Roman"/>
        </w:rPr>
        <w:t xml:space="preserve">Public document to be completed by the Contracting Authority </w:t>
      </w:r>
    </w:p>
    <w:p w14:paraId="07E0F64C" w14:textId="77777777" w:rsidR="00D450A0" w:rsidRPr="00014AD5" w:rsidRDefault="00D450A0" w:rsidP="00D450A0">
      <w:pPr>
        <w:jc w:val="center"/>
        <w:rPr>
          <w:rFonts w:ascii="Times New Roman" w:hAnsi="Times New Roman"/>
          <w:b/>
          <w:sz w:val="28"/>
        </w:rPr>
      </w:pPr>
      <w:r w:rsidRPr="00014AD5">
        <w:rPr>
          <w:rFonts w:ascii="Times New Roman" w:hAnsi="Times New Roman"/>
          <w:b/>
          <w:sz w:val="28"/>
        </w:rPr>
        <w:t xml:space="preserve">SUPPLY CONTRACT NOTICE </w:t>
      </w:r>
    </w:p>
    <w:p w14:paraId="5C556A72" w14:textId="7B9C359C" w:rsidR="00D450A0" w:rsidRPr="00D450A0" w:rsidRDefault="00D450A0" w:rsidP="00D450A0">
      <w:pPr>
        <w:spacing w:after="240"/>
        <w:rPr>
          <w:rStyle w:val="Strong"/>
          <w:rFonts w:ascii="Times New Roman" w:hAnsi="Times New Roman"/>
          <w:b w:val="0"/>
          <w:sz w:val="22"/>
          <w:szCs w:val="22"/>
        </w:rPr>
      </w:pPr>
      <w:r w:rsidRPr="00D450A0">
        <w:rPr>
          <w:rStyle w:val="Strong"/>
          <w:rFonts w:ascii="Times New Roman" w:hAnsi="Times New Roman"/>
          <w:bCs/>
          <w:sz w:val="22"/>
          <w:szCs w:val="22"/>
        </w:rPr>
        <w:t>CONTRACT TITLE -</w:t>
      </w:r>
      <w:r w:rsidRPr="00D450A0">
        <w:rPr>
          <w:rStyle w:val="Strong"/>
          <w:rFonts w:ascii="Times New Roman" w:hAnsi="Times New Roman"/>
          <w:b w:val="0"/>
          <w:sz w:val="22"/>
          <w:szCs w:val="22"/>
        </w:rPr>
        <w:t xml:space="preserve"> </w:t>
      </w:r>
      <w:r w:rsidRPr="00965EDD">
        <w:rPr>
          <w:rFonts w:ascii="Times New Roman" w:hAnsi="Times New Roman"/>
          <w:b/>
          <w:sz w:val="24"/>
          <w:szCs w:val="24"/>
        </w:rPr>
        <w:t>SUPPLY OF MOBILE LABORTAORIES; MOBILE VETERINARY LABORATORY VEHICLE (LOT 1), AND EMBRYO TRANSFER FACILITY VEHICLE (LOT 2)</w:t>
      </w:r>
      <w:r>
        <w:rPr>
          <w:rFonts w:ascii="Times New Roman" w:hAnsi="Times New Roman"/>
          <w:b/>
          <w:sz w:val="24"/>
          <w:szCs w:val="24"/>
        </w:rPr>
        <w:t xml:space="preserve"> FOR MAAIF</w:t>
      </w:r>
    </w:p>
    <w:p w14:paraId="53E17107" w14:textId="77777777" w:rsidR="00D450A0" w:rsidRPr="00014AD5" w:rsidRDefault="00D450A0" w:rsidP="00D450A0">
      <w:pPr>
        <w:spacing w:after="600"/>
        <w:jc w:val="center"/>
        <w:rPr>
          <w:rStyle w:val="Emphasis"/>
          <w:rFonts w:ascii="Times New Roman" w:hAnsi="Times New Roman"/>
          <w:i w:val="0"/>
          <w:sz w:val="22"/>
          <w:szCs w:val="22"/>
        </w:rPr>
      </w:pPr>
      <w:r w:rsidRPr="00014AD5">
        <w:rPr>
          <w:rStyle w:val="Strong"/>
          <w:rFonts w:ascii="Times New Roman" w:hAnsi="Times New Roman"/>
          <w:sz w:val="22"/>
          <w:szCs w:val="22"/>
        </w:rPr>
        <w:t>Location – East Africa</w:t>
      </w:r>
      <w:r w:rsidRPr="00014AD5">
        <w:rPr>
          <w:rStyle w:val="Emphasis"/>
          <w:rFonts w:ascii="Times New Roman" w:hAnsi="Times New Roman"/>
          <w:sz w:val="22"/>
          <w:szCs w:val="22"/>
        </w:rPr>
        <w:t>, Uganda, Entebbe</w:t>
      </w:r>
    </w:p>
    <w:p w14:paraId="0AB9FCAD"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Publication reference</w:t>
      </w:r>
    </w:p>
    <w:p w14:paraId="1C1F383D" w14:textId="77777777" w:rsidR="00D450A0" w:rsidRPr="00014AD5" w:rsidRDefault="00D450A0" w:rsidP="00D450A0">
      <w:pPr>
        <w:pStyle w:val="Blockquote"/>
        <w:tabs>
          <w:tab w:val="left" w:pos="709"/>
        </w:tabs>
        <w:ind w:left="709"/>
        <w:rPr>
          <w:rFonts w:ascii="Times New Roman" w:hAnsi="Times New Roman"/>
          <w:sz w:val="22"/>
          <w:szCs w:val="22"/>
          <w:lang w:val="en-GB"/>
        </w:rPr>
      </w:pPr>
      <w:r w:rsidRPr="00014AD5">
        <w:rPr>
          <w:rFonts w:ascii="Times New Roman" w:hAnsi="Times New Roman"/>
          <w:sz w:val="22"/>
          <w:szCs w:val="22"/>
          <w:lang w:val="en-GB"/>
        </w:rPr>
        <w:t xml:space="preserve">– </w:t>
      </w:r>
      <w:r w:rsidRPr="00014AD5">
        <w:rPr>
          <w:rFonts w:ascii="Times New Roman" w:hAnsi="Times New Roman"/>
          <w:b/>
          <w:sz w:val="22"/>
          <w:szCs w:val="22"/>
          <w:lang w:val="en-GB"/>
        </w:rPr>
        <w:t>FED/2018/397425/SUP005</w:t>
      </w:r>
    </w:p>
    <w:p w14:paraId="74BD4942"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Procedure</w:t>
      </w:r>
    </w:p>
    <w:p w14:paraId="1CB065A9" w14:textId="7BF3EA8F" w:rsidR="00D450A0" w:rsidRPr="00014AD5" w:rsidRDefault="00D450A0" w:rsidP="00D450A0">
      <w:pPr>
        <w:widowControl w:val="0"/>
        <w:spacing w:before="100" w:after="100"/>
        <w:ind w:left="709"/>
        <w:outlineLvl w:val="0"/>
        <w:rPr>
          <w:rFonts w:ascii="Times New Roman" w:hAnsi="Times New Roman"/>
          <w:b/>
          <w:sz w:val="22"/>
          <w:szCs w:val="22"/>
        </w:rPr>
      </w:pPr>
      <w:r>
        <w:rPr>
          <w:rFonts w:ascii="Times New Roman" w:hAnsi="Times New Roman"/>
          <w:sz w:val="22"/>
          <w:szCs w:val="22"/>
        </w:rPr>
        <w:t>Simplified Procedure</w:t>
      </w:r>
      <w:r w:rsidRPr="00014AD5">
        <w:rPr>
          <w:rFonts w:ascii="Times New Roman" w:hAnsi="Times New Roman"/>
          <w:sz w:val="22"/>
          <w:szCs w:val="22"/>
        </w:rPr>
        <w:t xml:space="preserve"> </w:t>
      </w:r>
    </w:p>
    <w:p w14:paraId="3638C176"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Programme title</w:t>
      </w:r>
    </w:p>
    <w:p w14:paraId="3A62A721" w14:textId="77777777" w:rsidR="00D450A0" w:rsidRPr="00014AD5" w:rsidRDefault="00D450A0" w:rsidP="00D450A0">
      <w:pPr>
        <w:pStyle w:val="PRAGHeading2"/>
        <w:numPr>
          <w:ilvl w:val="0"/>
          <w:numId w:val="0"/>
        </w:numPr>
        <w:ind w:left="644"/>
        <w:rPr>
          <w:sz w:val="22"/>
          <w:szCs w:val="22"/>
          <w:lang w:val="en-GB"/>
        </w:rPr>
      </w:pPr>
      <w:r w:rsidRPr="00014AD5">
        <w:rPr>
          <w:b/>
          <w:sz w:val="22"/>
          <w:szCs w:val="22"/>
          <w:lang w:val="en-GB"/>
        </w:rPr>
        <w:t>DEVELOPING A MARKET – ORIENTED AND ENVIRONMENTALLY SUSTAINABLE BEEF MEAT INDUSTRY IN UGANDA PROJECT (MOBIP)</w:t>
      </w:r>
    </w:p>
    <w:p w14:paraId="75B27FF7"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Financing</w:t>
      </w:r>
    </w:p>
    <w:p w14:paraId="5BE424E9" w14:textId="094CAEA6" w:rsidR="00D450A0" w:rsidRPr="00014AD5" w:rsidRDefault="00D450A0" w:rsidP="00D450A0">
      <w:pPr>
        <w:pStyle w:val="Blockquote"/>
        <w:tabs>
          <w:tab w:val="left" w:pos="709"/>
        </w:tabs>
        <w:ind w:left="709"/>
        <w:rPr>
          <w:rFonts w:ascii="Times New Roman" w:hAnsi="Times New Roman"/>
          <w:b/>
          <w:sz w:val="22"/>
          <w:szCs w:val="22"/>
          <w:lang w:val="en-GB"/>
        </w:rPr>
      </w:pPr>
      <w:r w:rsidRPr="00014AD5">
        <w:rPr>
          <w:rFonts w:ascii="Times New Roman" w:hAnsi="Times New Roman"/>
          <w:b/>
          <w:sz w:val="22"/>
          <w:szCs w:val="22"/>
          <w:lang w:val="en-GB"/>
        </w:rPr>
        <w:t>11</w:t>
      </w:r>
      <w:r w:rsidRPr="00014AD5">
        <w:rPr>
          <w:rFonts w:ascii="Times New Roman" w:hAnsi="Times New Roman"/>
          <w:b/>
          <w:sz w:val="22"/>
          <w:szCs w:val="22"/>
          <w:vertAlign w:val="superscript"/>
          <w:lang w:val="en-GB"/>
        </w:rPr>
        <w:t>th</w:t>
      </w:r>
      <w:r w:rsidRPr="00014AD5">
        <w:rPr>
          <w:rFonts w:ascii="Times New Roman" w:hAnsi="Times New Roman"/>
          <w:b/>
          <w:sz w:val="22"/>
          <w:szCs w:val="22"/>
          <w:lang w:val="en-GB"/>
        </w:rPr>
        <w:t xml:space="preserve"> EDF</w:t>
      </w:r>
      <w:r>
        <w:rPr>
          <w:rFonts w:ascii="Times New Roman" w:hAnsi="Times New Roman"/>
          <w:b/>
          <w:sz w:val="22"/>
          <w:szCs w:val="22"/>
          <w:lang w:val="en-GB"/>
        </w:rPr>
        <w:t xml:space="preserve"> – FED/2016/037-994</w:t>
      </w:r>
    </w:p>
    <w:p w14:paraId="5A68D3FD"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Contracting authority</w:t>
      </w:r>
    </w:p>
    <w:p w14:paraId="0299667B" w14:textId="1F63DB4D" w:rsidR="00D450A0" w:rsidRPr="00D450A0" w:rsidRDefault="00D450A0" w:rsidP="00D450A0">
      <w:pPr>
        <w:widowControl w:val="0"/>
        <w:spacing w:before="100" w:after="100"/>
        <w:ind w:left="709"/>
        <w:outlineLvl w:val="0"/>
        <w:rPr>
          <w:rFonts w:ascii="Times New Roman" w:hAnsi="Times New Roman"/>
          <w:sz w:val="22"/>
          <w:szCs w:val="22"/>
        </w:rPr>
      </w:pPr>
      <w:r w:rsidRPr="00D450A0">
        <w:rPr>
          <w:rFonts w:ascii="Times New Roman" w:hAnsi="Times New Roman"/>
          <w:sz w:val="22"/>
          <w:szCs w:val="22"/>
        </w:rPr>
        <w:t>Government of Uganda - Ministry of Agriculture, Animal Industry and Fisheries (MAAIF)</w:t>
      </w:r>
    </w:p>
    <w:p w14:paraId="00D1186A" w14:textId="77777777" w:rsidR="00D450A0" w:rsidRDefault="00D450A0" w:rsidP="00D450A0">
      <w:pPr>
        <w:keepNext/>
        <w:keepLines/>
        <w:tabs>
          <w:tab w:val="left" w:pos="1134"/>
        </w:tabs>
        <w:snapToGrid w:val="0"/>
        <w:ind w:left="709"/>
        <w:jc w:val="center"/>
        <w:rPr>
          <w:rStyle w:val="Strong"/>
          <w:rFonts w:ascii="Times New Roman" w:hAnsi="Times New Roman"/>
          <w:sz w:val="22"/>
          <w:szCs w:val="22"/>
        </w:rPr>
      </w:pPr>
    </w:p>
    <w:p w14:paraId="51FD40CB" w14:textId="21CAEC1F" w:rsidR="00D450A0" w:rsidRPr="00014AD5" w:rsidRDefault="00D450A0" w:rsidP="00D450A0">
      <w:pPr>
        <w:keepNext/>
        <w:keepLines/>
        <w:tabs>
          <w:tab w:val="left" w:pos="1134"/>
        </w:tabs>
        <w:snapToGrid w:val="0"/>
        <w:ind w:left="709"/>
        <w:jc w:val="center"/>
        <w:rPr>
          <w:rStyle w:val="Strong"/>
          <w:rFonts w:ascii="Times New Roman" w:hAnsi="Times New Roman"/>
          <w:sz w:val="22"/>
          <w:szCs w:val="22"/>
        </w:rPr>
      </w:pPr>
      <w:r w:rsidRPr="00014AD5">
        <w:rPr>
          <w:rStyle w:val="Strong"/>
          <w:rFonts w:ascii="Times New Roman" w:hAnsi="Times New Roman"/>
          <w:sz w:val="22"/>
          <w:szCs w:val="22"/>
        </w:rPr>
        <w:t>CONTRACT SPECIFICATIONS</w:t>
      </w:r>
    </w:p>
    <w:p w14:paraId="7BAB89DB" w14:textId="77777777" w:rsidR="00D450A0" w:rsidRPr="00014AD5" w:rsidRDefault="00D450A0" w:rsidP="00D450A0">
      <w:pPr>
        <w:keepNext/>
        <w:keepLines/>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 xml:space="preserve">Description of the contract </w:t>
      </w:r>
    </w:p>
    <w:p w14:paraId="7ED48CCB" w14:textId="1F482236" w:rsidR="00D450A0" w:rsidRPr="00014AD5" w:rsidRDefault="00D450A0" w:rsidP="00D450A0">
      <w:pPr>
        <w:pStyle w:val="ListParagraph"/>
        <w:ind w:left="644"/>
        <w:jc w:val="both"/>
        <w:rPr>
          <w:rFonts w:ascii="Times New Roman" w:hAnsi="Times New Roman"/>
        </w:rPr>
      </w:pPr>
      <w:r w:rsidRPr="00014AD5">
        <w:rPr>
          <w:rFonts w:ascii="Times New Roman" w:hAnsi="Times New Roman"/>
        </w:rPr>
        <w:t>The subject of the contract is the supply, delivery and unloading</w:t>
      </w:r>
      <w:r>
        <w:rPr>
          <w:rFonts w:ascii="Times New Roman" w:hAnsi="Times New Roman"/>
        </w:rPr>
        <w:t xml:space="preserve">, maintenance and after sales services  </w:t>
      </w:r>
      <w:r w:rsidRPr="00014AD5">
        <w:rPr>
          <w:rFonts w:ascii="Times New Roman" w:hAnsi="Times New Roman"/>
        </w:rPr>
        <w:t xml:space="preserve"> by the Contractor of the following goods </w:t>
      </w:r>
      <w:r>
        <w:rPr>
          <w:rFonts w:ascii="Times New Roman" w:hAnsi="Times New Roman"/>
          <w:b/>
        </w:rPr>
        <w:t>MOBILE VETERINARY LABORATORY VEHICLE (Lot 1),</w:t>
      </w:r>
      <w:r w:rsidRPr="00014AD5">
        <w:rPr>
          <w:rFonts w:ascii="Times New Roman" w:hAnsi="Times New Roman"/>
          <w:b/>
        </w:rPr>
        <w:t xml:space="preserve"> EMBRYO TRANSFER</w:t>
      </w:r>
      <w:r>
        <w:rPr>
          <w:rFonts w:ascii="Times New Roman" w:hAnsi="Times New Roman"/>
          <w:b/>
        </w:rPr>
        <w:t xml:space="preserve"> FACILITY VEHICLE</w:t>
      </w:r>
      <w:r w:rsidRPr="00014AD5">
        <w:rPr>
          <w:rFonts w:ascii="Times New Roman" w:hAnsi="Times New Roman"/>
          <w:b/>
        </w:rPr>
        <w:t xml:space="preserve"> (Lot 2), </w:t>
      </w:r>
      <w:r w:rsidRPr="00D450A0">
        <w:rPr>
          <w:rFonts w:ascii="Times New Roman" w:hAnsi="Times New Roman"/>
          <w:bCs/>
        </w:rPr>
        <w:t>at t</w:t>
      </w:r>
      <w:r w:rsidRPr="00014AD5">
        <w:rPr>
          <w:rFonts w:ascii="Times New Roman" w:hAnsi="Times New Roman"/>
        </w:rPr>
        <w:t xml:space="preserve">he MOBIP Office, Ministry of Agriculture, Animal Industry and Fisheries, Entebbe, DDP, in accordance with point 15 of the Contract notice. </w:t>
      </w:r>
    </w:p>
    <w:p w14:paraId="3B2A39DD" w14:textId="77777777" w:rsidR="00D450A0" w:rsidRPr="00014AD5" w:rsidRDefault="00D450A0" w:rsidP="00D450A0">
      <w:pPr>
        <w:keepNext/>
        <w:keepLines/>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 xml:space="preserve">Number and titles of lots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580"/>
        <w:gridCol w:w="1388"/>
      </w:tblGrid>
      <w:tr w:rsidR="00D450A0" w:rsidRPr="00014AD5" w14:paraId="55D9F7FD" w14:textId="77777777" w:rsidTr="00AA41BC">
        <w:tc>
          <w:tcPr>
            <w:tcW w:w="1098" w:type="dxa"/>
          </w:tcPr>
          <w:p w14:paraId="5DFA9F56" w14:textId="77777777" w:rsidR="00D450A0" w:rsidRPr="00014AD5" w:rsidRDefault="00D450A0" w:rsidP="00AA41BC">
            <w:pPr>
              <w:pStyle w:val="Blockquote"/>
              <w:ind w:left="0"/>
              <w:rPr>
                <w:rFonts w:ascii="Times New Roman" w:hAnsi="Times New Roman"/>
                <w:b/>
                <w:sz w:val="20"/>
                <w:lang w:val="en-GB"/>
              </w:rPr>
            </w:pPr>
            <w:r w:rsidRPr="00014AD5">
              <w:rPr>
                <w:rFonts w:ascii="Times New Roman" w:hAnsi="Times New Roman"/>
                <w:b/>
                <w:sz w:val="20"/>
                <w:lang w:val="en-GB"/>
              </w:rPr>
              <w:t>Lot #</w:t>
            </w:r>
          </w:p>
        </w:tc>
        <w:tc>
          <w:tcPr>
            <w:tcW w:w="5580" w:type="dxa"/>
            <w:shd w:val="clear" w:color="auto" w:fill="auto"/>
          </w:tcPr>
          <w:p w14:paraId="72BF8E17" w14:textId="77777777" w:rsidR="00D450A0" w:rsidRPr="00014AD5" w:rsidRDefault="00D450A0" w:rsidP="00AA41BC">
            <w:pPr>
              <w:pStyle w:val="Blockquote"/>
              <w:ind w:left="0"/>
              <w:rPr>
                <w:rFonts w:ascii="Times New Roman" w:hAnsi="Times New Roman"/>
                <w:b/>
                <w:sz w:val="20"/>
                <w:lang w:val="en-GB"/>
              </w:rPr>
            </w:pPr>
            <w:r w:rsidRPr="00014AD5">
              <w:rPr>
                <w:rFonts w:ascii="Times New Roman" w:hAnsi="Times New Roman"/>
                <w:b/>
                <w:sz w:val="20"/>
                <w:lang w:val="en-GB"/>
              </w:rPr>
              <w:t>Lot Description</w:t>
            </w:r>
          </w:p>
        </w:tc>
        <w:tc>
          <w:tcPr>
            <w:tcW w:w="1388" w:type="dxa"/>
          </w:tcPr>
          <w:p w14:paraId="39BAFF1E" w14:textId="77777777" w:rsidR="00D450A0" w:rsidRPr="00014AD5" w:rsidRDefault="00D450A0" w:rsidP="00AA41BC">
            <w:pPr>
              <w:pStyle w:val="Blockquote"/>
              <w:ind w:left="0"/>
              <w:rPr>
                <w:rFonts w:ascii="Times New Roman" w:hAnsi="Times New Roman"/>
                <w:b/>
                <w:sz w:val="20"/>
                <w:lang w:val="en-GB"/>
              </w:rPr>
            </w:pPr>
            <w:r w:rsidRPr="00014AD5">
              <w:rPr>
                <w:rFonts w:ascii="Times New Roman" w:hAnsi="Times New Roman"/>
                <w:b/>
                <w:sz w:val="20"/>
                <w:lang w:val="en-GB"/>
              </w:rPr>
              <w:t>Quantity</w:t>
            </w:r>
          </w:p>
        </w:tc>
      </w:tr>
      <w:tr w:rsidR="00D450A0" w:rsidRPr="00014AD5" w14:paraId="2E49CE8D" w14:textId="77777777" w:rsidTr="00AA41BC">
        <w:tc>
          <w:tcPr>
            <w:tcW w:w="1098" w:type="dxa"/>
          </w:tcPr>
          <w:p w14:paraId="260B99CD" w14:textId="77777777" w:rsidR="00D450A0" w:rsidRPr="00014AD5" w:rsidRDefault="00D450A0" w:rsidP="00AA41BC">
            <w:pPr>
              <w:pStyle w:val="Blockquote"/>
              <w:ind w:left="0"/>
              <w:rPr>
                <w:rFonts w:ascii="Times New Roman" w:hAnsi="Times New Roman"/>
                <w:sz w:val="20"/>
                <w:lang w:val="en-GB"/>
              </w:rPr>
            </w:pPr>
            <w:r w:rsidRPr="00014AD5">
              <w:rPr>
                <w:rFonts w:ascii="Times New Roman" w:hAnsi="Times New Roman"/>
                <w:sz w:val="20"/>
                <w:lang w:val="en-GB"/>
              </w:rPr>
              <w:t>Lot 1</w:t>
            </w:r>
          </w:p>
        </w:tc>
        <w:tc>
          <w:tcPr>
            <w:tcW w:w="5580" w:type="dxa"/>
            <w:shd w:val="clear" w:color="auto" w:fill="auto"/>
          </w:tcPr>
          <w:p w14:paraId="26180EBD" w14:textId="0A447867" w:rsidR="00D450A0" w:rsidRPr="00D450A0" w:rsidRDefault="00D450A0" w:rsidP="00AA41BC">
            <w:pPr>
              <w:pStyle w:val="Blockquote"/>
              <w:ind w:left="0"/>
              <w:rPr>
                <w:rFonts w:ascii="Times New Roman" w:hAnsi="Times New Roman"/>
                <w:bCs/>
                <w:sz w:val="22"/>
                <w:szCs w:val="22"/>
                <w:lang w:val="en-GB"/>
              </w:rPr>
            </w:pPr>
            <w:r w:rsidRPr="00D450A0">
              <w:rPr>
                <w:rFonts w:ascii="Times New Roman" w:hAnsi="Times New Roman"/>
                <w:bCs/>
              </w:rPr>
              <w:t>Mobile Veterinary Laboratory Vehicle</w:t>
            </w:r>
            <w:r w:rsidRPr="00D450A0">
              <w:rPr>
                <w:rFonts w:ascii="Times New Roman" w:hAnsi="Times New Roman"/>
                <w:bCs/>
                <w:sz w:val="22"/>
                <w:szCs w:val="22"/>
                <w:lang w:val="en-GB"/>
              </w:rPr>
              <w:t xml:space="preserve"> </w:t>
            </w:r>
          </w:p>
        </w:tc>
        <w:tc>
          <w:tcPr>
            <w:tcW w:w="1388" w:type="dxa"/>
          </w:tcPr>
          <w:p w14:paraId="03FA2428" w14:textId="77777777" w:rsidR="00D450A0" w:rsidRPr="00014AD5" w:rsidRDefault="00D450A0" w:rsidP="00AA41BC">
            <w:pPr>
              <w:pStyle w:val="Blockquote"/>
              <w:ind w:left="0"/>
              <w:rPr>
                <w:rFonts w:ascii="Times New Roman" w:hAnsi="Times New Roman"/>
                <w:sz w:val="20"/>
                <w:lang w:val="en-GB"/>
              </w:rPr>
            </w:pPr>
            <w:r w:rsidRPr="00014AD5">
              <w:rPr>
                <w:rFonts w:ascii="Times New Roman" w:hAnsi="Times New Roman"/>
                <w:sz w:val="20"/>
                <w:lang w:val="en-GB"/>
              </w:rPr>
              <w:t>01</w:t>
            </w:r>
          </w:p>
        </w:tc>
      </w:tr>
      <w:tr w:rsidR="00D450A0" w:rsidRPr="00014AD5" w14:paraId="7E19AC65" w14:textId="77777777" w:rsidTr="00AA41BC">
        <w:tc>
          <w:tcPr>
            <w:tcW w:w="1098" w:type="dxa"/>
          </w:tcPr>
          <w:p w14:paraId="6085BDA7" w14:textId="77777777" w:rsidR="00D450A0" w:rsidRPr="00014AD5" w:rsidRDefault="00D450A0" w:rsidP="00AA41BC">
            <w:pPr>
              <w:pStyle w:val="Blockquote"/>
              <w:ind w:left="0"/>
              <w:rPr>
                <w:rFonts w:ascii="Times New Roman" w:hAnsi="Times New Roman"/>
                <w:sz w:val="20"/>
                <w:lang w:val="en-GB"/>
              </w:rPr>
            </w:pPr>
            <w:r w:rsidRPr="00014AD5">
              <w:rPr>
                <w:rFonts w:ascii="Times New Roman" w:hAnsi="Times New Roman"/>
                <w:sz w:val="20"/>
                <w:lang w:val="en-GB"/>
              </w:rPr>
              <w:t>Lot 2</w:t>
            </w:r>
          </w:p>
        </w:tc>
        <w:tc>
          <w:tcPr>
            <w:tcW w:w="5580" w:type="dxa"/>
            <w:shd w:val="clear" w:color="auto" w:fill="auto"/>
          </w:tcPr>
          <w:p w14:paraId="05C9A5FC" w14:textId="20F7AE7F" w:rsidR="00D450A0" w:rsidRPr="00D450A0" w:rsidRDefault="00D450A0" w:rsidP="00AA41BC">
            <w:pPr>
              <w:pStyle w:val="Blockquote"/>
              <w:ind w:left="0"/>
              <w:rPr>
                <w:rFonts w:ascii="Times New Roman" w:hAnsi="Times New Roman"/>
                <w:bCs/>
                <w:sz w:val="22"/>
                <w:szCs w:val="22"/>
                <w:lang w:val="en-GB"/>
              </w:rPr>
            </w:pPr>
            <w:r w:rsidRPr="00D450A0">
              <w:rPr>
                <w:rFonts w:ascii="Times New Roman" w:hAnsi="Times New Roman"/>
                <w:bCs/>
              </w:rPr>
              <w:t>Embryo Transfer Facility Vehicle</w:t>
            </w:r>
            <w:r w:rsidRPr="00D450A0">
              <w:rPr>
                <w:rFonts w:ascii="Times New Roman" w:hAnsi="Times New Roman"/>
                <w:bCs/>
                <w:sz w:val="22"/>
                <w:szCs w:val="22"/>
                <w:lang w:val="en-GB"/>
              </w:rPr>
              <w:t xml:space="preserve"> </w:t>
            </w:r>
          </w:p>
        </w:tc>
        <w:tc>
          <w:tcPr>
            <w:tcW w:w="1388" w:type="dxa"/>
          </w:tcPr>
          <w:p w14:paraId="23F160C2" w14:textId="77777777" w:rsidR="00D450A0" w:rsidRPr="00014AD5" w:rsidRDefault="00D450A0" w:rsidP="00AA41BC">
            <w:pPr>
              <w:pStyle w:val="Blockquote"/>
              <w:ind w:left="0"/>
              <w:rPr>
                <w:rFonts w:ascii="Times New Roman" w:hAnsi="Times New Roman"/>
                <w:sz w:val="20"/>
                <w:lang w:val="en-GB"/>
              </w:rPr>
            </w:pPr>
            <w:r w:rsidRPr="00014AD5">
              <w:rPr>
                <w:rFonts w:ascii="Times New Roman" w:hAnsi="Times New Roman"/>
                <w:sz w:val="20"/>
                <w:lang w:val="en-GB"/>
              </w:rPr>
              <w:t>01</w:t>
            </w:r>
          </w:p>
        </w:tc>
      </w:tr>
    </w:tbl>
    <w:p w14:paraId="39F78831" w14:textId="77777777" w:rsidR="00D450A0" w:rsidRPr="00014AD5" w:rsidRDefault="00D450A0" w:rsidP="00D450A0">
      <w:pPr>
        <w:pStyle w:val="Blockquote"/>
        <w:spacing w:before="400"/>
        <w:ind w:left="357" w:right="0"/>
        <w:jc w:val="center"/>
        <w:rPr>
          <w:rStyle w:val="Strong"/>
          <w:rFonts w:ascii="Times New Roman" w:hAnsi="Times New Roman"/>
          <w:sz w:val="22"/>
          <w:szCs w:val="22"/>
          <w:lang w:val="en-GB"/>
        </w:rPr>
      </w:pPr>
      <w:r w:rsidRPr="00014AD5">
        <w:rPr>
          <w:rStyle w:val="Strong"/>
          <w:rFonts w:ascii="Times New Roman" w:hAnsi="Times New Roman"/>
          <w:sz w:val="22"/>
          <w:szCs w:val="22"/>
          <w:lang w:val="en-GB"/>
        </w:rPr>
        <w:t>TERMS OF PARTICIPATION</w:t>
      </w:r>
    </w:p>
    <w:p w14:paraId="6830900C" w14:textId="77777777" w:rsidR="00D450A0" w:rsidRPr="00014AD5" w:rsidRDefault="00D450A0" w:rsidP="00D450A0">
      <w:pPr>
        <w:widowControl w:val="0"/>
        <w:numPr>
          <w:ilvl w:val="0"/>
          <w:numId w:val="2"/>
        </w:numPr>
        <w:tabs>
          <w:tab w:val="clear" w:pos="810"/>
          <w:tab w:val="num" w:pos="709"/>
        </w:tabs>
        <w:spacing w:before="100" w:after="100"/>
        <w:ind w:left="709"/>
        <w:outlineLvl w:val="0"/>
        <w:rPr>
          <w:rStyle w:val="Strong"/>
          <w:rFonts w:ascii="Times New Roman" w:hAnsi="Times New Roman"/>
          <w:sz w:val="22"/>
          <w:szCs w:val="22"/>
        </w:rPr>
      </w:pPr>
      <w:r w:rsidRPr="00014AD5">
        <w:rPr>
          <w:rStyle w:val="Strong"/>
          <w:rFonts w:ascii="Times New Roman" w:hAnsi="Times New Roman"/>
          <w:sz w:val="22"/>
          <w:szCs w:val="22"/>
        </w:rPr>
        <w:t xml:space="preserve">Eligibility and rules of origin </w:t>
      </w:r>
    </w:p>
    <w:p w14:paraId="2A130ACE" w14:textId="77777777" w:rsidR="00D450A0" w:rsidRPr="00014AD5" w:rsidRDefault="00D450A0" w:rsidP="00D450A0">
      <w:pPr>
        <w:pStyle w:val="Blockquote"/>
        <w:ind w:left="644" w:right="1"/>
        <w:jc w:val="both"/>
        <w:rPr>
          <w:rFonts w:ascii="Times New Roman" w:hAnsi="Times New Roman"/>
          <w:sz w:val="22"/>
          <w:szCs w:val="22"/>
          <w:lang w:val="en-GB"/>
        </w:rPr>
      </w:pPr>
      <w:r w:rsidRPr="00014AD5">
        <w:rPr>
          <w:rFonts w:ascii="Times New Roman" w:hAnsi="Times New Roman"/>
          <w:sz w:val="22"/>
          <w:szCs w:val="22"/>
          <w:lang w:val="en-GB"/>
        </w:rPr>
        <w:t xml:space="preserve">Participation in tendering is open on equal terms to natural and legal persons (participating either individually or in a grouping – consortium – of tenderers) which are established in one of the Member States of the European Union, ACP States or in a country or territory authorised by the ACP-EC Partnership Agreement under which the contract is financed (see also item 22 below). Participation is also open to international organisations. All goods supplied under this contract must originate in these countries. </w:t>
      </w:r>
    </w:p>
    <w:p w14:paraId="032C41DA" w14:textId="664C412A" w:rsidR="00D450A0" w:rsidRPr="00014AD5" w:rsidRDefault="00D450A0" w:rsidP="00D450A0">
      <w:pPr>
        <w:pStyle w:val="Blockquote"/>
        <w:ind w:left="644" w:right="1"/>
        <w:jc w:val="both"/>
        <w:rPr>
          <w:rFonts w:ascii="Times New Roman" w:hAnsi="Times New Roman"/>
          <w:sz w:val="22"/>
          <w:szCs w:val="22"/>
          <w:lang w:val="en-GB"/>
        </w:rPr>
      </w:pPr>
      <w:r>
        <w:rPr>
          <w:rFonts w:ascii="Times New Roman" w:hAnsi="Times New Roman"/>
          <w:sz w:val="22"/>
          <w:szCs w:val="22"/>
          <w:lang w:val="en-GB"/>
        </w:rPr>
        <w:t>All supplies in this contract may originate from any country.</w:t>
      </w:r>
      <w:r w:rsidRPr="00014AD5">
        <w:rPr>
          <w:rFonts w:ascii="Times New Roman" w:hAnsi="Times New Roman"/>
          <w:sz w:val="22"/>
          <w:szCs w:val="22"/>
          <w:lang w:val="en-GB"/>
        </w:rPr>
        <w:t xml:space="preserve"> </w:t>
      </w:r>
    </w:p>
    <w:p w14:paraId="53E70A5B" w14:textId="77777777" w:rsidR="00D450A0" w:rsidRPr="00014AD5" w:rsidRDefault="00D450A0" w:rsidP="00D450A0">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14AD5">
        <w:rPr>
          <w:rStyle w:val="Strong"/>
          <w:rFonts w:ascii="Times New Roman" w:hAnsi="Times New Roman"/>
          <w:sz w:val="22"/>
          <w:szCs w:val="22"/>
        </w:rPr>
        <w:t>Grounds for exclusion</w:t>
      </w:r>
    </w:p>
    <w:p w14:paraId="61852DCF" w14:textId="17D09E7B" w:rsidR="00D450A0" w:rsidRDefault="00D450A0" w:rsidP="00D450A0">
      <w:pPr>
        <w:pStyle w:val="Blockquote"/>
        <w:ind w:left="709" w:right="1"/>
        <w:jc w:val="both"/>
        <w:rPr>
          <w:rFonts w:ascii="Times New Roman" w:hAnsi="Times New Roman"/>
          <w:sz w:val="22"/>
          <w:szCs w:val="22"/>
          <w:lang w:val="en-GB"/>
        </w:rPr>
      </w:pPr>
      <w:r w:rsidRPr="00014AD5">
        <w:rPr>
          <w:rFonts w:ascii="Times New Roman" w:hAnsi="Times New Roman"/>
          <w:sz w:val="22"/>
          <w:szCs w:val="22"/>
          <w:lang w:val="en-GB"/>
        </w:rPr>
        <w:t xml:space="preserve">Tenderers must submit a signed declaration, included in the Tender Form for a Supply Contract, to </w:t>
      </w:r>
      <w:r w:rsidRPr="00014AD5">
        <w:rPr>
          <w:rFonts w:ascii="Times New Roman" w:hAnsi="Times New Roman"/>
          <w:sz w:val="22"/>
          <w:szCs w:val="22"/>
          <w:lang w:val="en-GB"/>
        </w:rPr>
        <w:lastRenderedPageBreak/>
        <w:t xml:space="preserve">the effect that they are not in any of the situations listed in point </w:t>
      </w:r>
      <w:r w:rsidR="004A16F8">
        <w:rPr>
          <w:rFonts w:ascii="Times New Roman" w:hAnsi="Times New Roman"/>
          <w:sz w:val="22"/>
          <w:szCs w:val="22"/>
          <w:lang w:val="en-GB"/>
        </w:rPr>
        <w:t>2.6.10.1</w:t>
      </w:r>
      <w:r w:rsidRPr="00014AD5">
        <w:rPr>
          <w:rFonts w:ascii="Times New Roman" w:hAnsi="Times New Roman"/>
          <w:sz w:val="22"/>
          <w:szCs w:val="22"/>
          <w:lang w:val="en-GB"/>
        </w:rPr>
        <w:t xml:space="preserve"> of the Practical Guide.</w:t>
      </w:r>
    </w:p>
    <w:p w14:paraId="6924DF4C" w14:textId="3919CB6B" w:rsidR="00D450A0" w:rsidRPr="00014AD5" w:rsidRDefault="00D450A0" w:rsidP="00D450A0">
      <w:pPr>
        <w:pStyle w:val="Blockquote"/>
        <w:ind w:left="709" w:right="1"/>
        <w:jc w:val="both"/>
        <w:rPr>
          <w:rFonts w:ascii="Times New Roman" w:hAnsi="Times New Roman"/>
          <w:b/>
          <w:i/>
          <w:sz w:val="22"/>
          <w:szCs w:val="22"/>
          <w:lang w:val="en-GB"/>
        </w:rPr>
      </w:pPr>
      <w:r>
        <w:rPr>
          <w:rFonts w:ascii="Times New Roman" w:hAnsi="Times New Roman"/>
          <w:sz w:val="22"/>
          <w:szCs w:val="22"/>
          <w:lang w:val="en-GB"/>
        </w:rPr>
        <w:t>Tenderers included in the lists of EU restrictive measures (see section 2.4 of the PRAG) at the moment of the award decision cannot be awarded the contract.</w:t>
      </w:r>
    </w:p>
    <w:p w14:paraId="4D3B4C7E" w14:textId="77777777" w:rsidR="00D450A0" w:rsidRPr="00014AD5" w:rsidRDefault="00D450A0" w:rsidP="00D450A0">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14AD5">
        <w:rPr>
          <w:rStyle w:val="Strong"/>
          <w:rFonts w:ascii="Times New Roman" w:hAnsi="Times New Roman"/>
          <w:sz w:val="22"/>
          <w:szCs w:val="22"/>
        </w:rPr>
        <w:t>Number of tenders</w:t>
      </w:r>
    </w:p>
    <w:p w14:paraId="76F265FF" w14:textId="77777777" w:rsidR="00D450A0" w:rsidRPr="00014AD5" w:rsidRDefault="00D450A0" w:rsidP="00D450A0">
      <w:pPr>
        <w:snapToGrid w:val="0"/>
        <w:ind w:left="644" w:right="26"/>
        <w:jc w:val="both"/>
        <w:rPr>
          <w:rFonts w:ascii="Times New Roman" w:hAnsi="Times New Roman"/>
          <w:sz w:val="22"/>
          <w:szCs w:val="22"/>
        </w:rPr>
      </w:pPr>
      <w:r w:rsidRPr="00014AD5">
        <w:rPr>
          <w:rFonts w:ascii="Times New Roman" w:eastAsia="Calibri" w:hAnsi="Times New Roman"/>
          <w:sz w:val="22"/>
          <w:szCs w:val="22"/>
        </w:rPr>
        <w:t xml:space="preserve">The candidates may submit an application for one lot only, several lots or all of the lots, but only one application may be submitted per lot. </w:t>
      </w:r>
      <w:r w:rsidRPr="00014AD5">
        <w:rPr>
          <w:rFonts w:ascii="Times New Roman" w:hAnsi="Times New Roman"/>
          <w:sz w:val="22"/>
          <w:szCs w:val="22"/>
        </w:rPr>
        <w:t>Tenders for parts of a lot will not be considered. Tenderers may not submit a tender for a variant solution in addition to their tender for the supplies required in the tender dossier.</w:t>
      </w:r>
    </w:p>
    <w:p w14:paraId="4C3FDAE0" w14:textId="77777777" w:rsidR="00D450A0" w:rsidRPr="00014AD5" w:rsidRDefault="00D450A0" w:rsidP="00D450A0">
      <w:pPr>
        <w:widowControl w:val="0"/>
        <w:spacing w:before="100" w:after="100"/>
        <w:ind w:left="709" w:right="1"/>
        <w:outlineLvl w:val="0"/>
        <w:rPr>
          <w:rFonts w:ascii="Times New Roman" w:hAnsi="Times New Roman"/>
          <w:b/>
          <w:sz w:val="22"/>
          <w:szCs w:val="22"/>
        </w:rPr>
      </w:pPr>
      <w:r w:rsidRPr="00014AD5">
        <w:rPr>
          <w:rFonts w:ascii="Times New Roman" w:eastAsia="Calibri" w:hAnsi="Times New Roman"/>
          <w:sz w:val="22"/>
          <w:szCs w:val="22"/>
        </w:rPr>
        <w:t xml:space="preserve">Contracts will be awarded lot by lot and each lot will form a separate contract.] </w:t>
      </w:r>
      <w:r w:rsidRPr="00014AD5">
        <w:rPr>
          <w:rFonts w:ascii="Times New Roman" w:hAnsi="Times New Roman"/>
          <w:sz w:val="22"/>
          <w:szCs w:val="22"/>
        </w:rPr>
        <w:t>Any tenderer may state in its tender that it would offer a discount in the event that its tender is accepted for more than one lot</w:t>
      </w:r>
    </w:p>
    <w:p w14:paraId="48BCAB4D" w14:textId="77777777" w:rsidR="00D450A0" w:rsidRPr="00014AD5" w:rsidRDefault="00D450A0" w:rsidP="00D450A0">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14AD5">
        <w:rPr>
          <w:rStyle w:val="Strong"/>
          <w:rFonts w:ascii="Times New Roman" w:hAnsi="Times New Roman"/>
          <w:sz w:val="22"/>
          <w:szCs w:val="22"/>
        </w:rPr>
        <w:t>Tender guarantee</w:t>
      </w:r>
    </w:p>
    <w:p w14:paraId="09048058" w14:textId="04E387EF" w:rsidR="00D450A0" w:rsidRPr="00014AD5" w:rsidRDefault="00D450A0" w:rsidP="00D450A0">
      <w:pPr>
        <w:pStyle w:val="Blockquote"/>
        <w:ind w:left="284" w:right="1" w:firstLine="425"/>
        <w:jc w:val="both"/>
        <w:rPr>
          <w:rFonts w:ascii="Times New Roman" w:hAnsi="Times New Roman"/>
          <w:sz w:val="22"/>
          <w:szCs w:val="22"/>
          <w:lang w:val="en-GB"/>
        </w:rPr>
      </w:pPr>
      <w:r>
        <w:rPr>
          <w:rFonts w:ascii="Times New Roman" w:hAnsi="Times New Roman"/>
          <w:sz w:val="22"/>
          <w:szCs w:val="22"/>
        </w:rPr>
        <w:t>No t</w:t>
      </w:r>
      <w:r w:rsidRPr="00014AD5">
        <w:rPr>
          <w:rFonts w:ascii="Times New Roman" w:hAnsi="Times New Roman"/>
          <w:sz w:val="22"/>
          <w:szCs w:val="22"/>
        </w:rPr>
        <w:t>ender guarantee is required.</w:t>
      </w:r>
    </w:p>
    <w:p w14:paraId="0CBC5B81" w14:textId="77777777" w:rsidR="00D450A0" w:rsidRPr="00014AD5" w:rsidRDefault="00D450A0" w:rsidP="00D450A0">
      <w:pPr>
        <w:keepNext/>
        <w:keepLines/>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14AD5">
        <w:rPr>
          <w:rStyle w:val="Strong"/>
          <w:rFonts w:ascii="Times New Roman" w:hAnsi="Times New Roman"/>
          <w:sz w:val="22"/>
          <w:szCs w:val="22"/>
        </w:rPr>
        <w:t>Performance guarantee</w:t>
      </w:r>
    </w:p>
    <w:p w14:paraId="310F2BCC" w14:textId="3FFA9BEB" w:rsidR="00D450A0" w:rsidRPr="00014AD5" w:rsidRDefault="00D450A0" w:rsidP="00D450A0">
      <w:pPr>
        <w:pStyle w:val="Blockquote"/>
        <w:spacing w:after="120"/>
        <w:ind w:left="644" w:right="1"/>
        <w:jc w:val="both"/>
        <w:rPr>
          <w:rFonts w:ascii="Times New Roman" w:hAnsi="Times New Roman"/>
          <w:color w:val="000000"/>
          <w:sz w:val="22"/>
          <w:szCs w:val="22"/>
          <w:lang w:val="en-GB"/>
        </w:rPr>
      </w:pPr>
      <w:r>
        <w:rPr>
          <w:rFonts w:ascii="Times New Roman" w:hAnsi="Times New Roman"/>
          <w:color w:val="000000"/>
          <w:sz w:val="22"/>
          <w:szCs w:val="22"/>
          <w:lang w:val="en-GB"/>
        </w:rPr>
        <w:t xml:space="preserve">No performance guarantee is </w:t>
      </w:r>
      <w:r w:rsidR="00863779">
        <w:rPr>
          <w:rFonts w:ascii="Times New Roman" w:hAnsi="Times New Roman"/>
          <w:color w:val="000000"/>
          <w:sz w:val="22"/>
          <w:szCs w:val="22"/>
          <w:lang w:val="en-GB"/>
        </w:rPr>
        <w:t>required</w:t>
      </w:r>
    </w:p>
    <w:p w14:paraId="2E0FF2F9"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Information meeting and/or site visit</w:t>
      </w:r>
    </w:p>
    <w:p w14:paraId="34E90756" w14:textId="77777777" w:rsidR="00D450A0" w:rsidRPr="00014AD5" w:rsidRDefault="00D450A0" w:rsidP="00D450A0">
      <w:pPr>
        <w:pStyle w:val="Blockquote"/>
        <w:ind w:left="709"/>
        <w:rPr>
          <w:rFonts w:ascii="Times New Roman" w:hAnsi="Times New Roman"/>
          <w:sz w:val="22"/>
          <w:szCs w:val="22"/>
          <w:lang w:val="en-GB"/>
        </w:rPr>
      </w:pPr>
      <w:r w:rsidRPr="00014AD5">
        <w:rPr>
          <w:rFonts w:ascii="Times New Roman" w:hAnsi="Times New Roman"/>
          <w:sz w:val="22"/>
          <w:szCs w:val="22"/>
          <w:lang w:val="en-GB"/>
        </w:rPr>
        <w:t>No information meeting is planned</w:t>
      </w:r>
    </w:p>
    <w:p w14:paraId="6ACB2FA7"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Tender validity</w:t>
      </w:r>
    </w:p>
    <w:p w14:paraId="0FF00977" w14:textId="77777777" w:rsidR="00D450A0" w:rsidRPr="00014AD5" w:rsidRDefault="00D450A0" w:rsidP="00D450A0">
      <w:pPr>
        <w:pStyle w:val="Blockquote"/>
        <w:ind w:left="709" w:right="1"/>
        <w:jc w:val="both"/>
        <w:rPr>
          <w:rFonts w:ascii="Times New Roman" w:hAnsi="Times New Roman"/>
          <w:sz w:val="22"/>
          <w:szCs w:val="22"/>
          <w:lang w:val="en-GB"/>
        </w:rPr>
      </w:pPr>
      <w:r w:rsidRPr="00014AD5">
        <w:rPr>
          <w:rFonts w:ascii="Times New Roman" w:hAnsi="Times New Roman"/>
          <w:sz w:val="22"/>
          <w:szCs w:val="22"/>
          <w:lang w:val="en-GB"/>
        </w:rPr>
        <w:t>Tenders must remain valid for a period of 90 days after the deadline for submission of tenders. In exceptional circumstances, the Contracting Authority may, before the validity period expires, request that tenderers extend the validity of tenders for a specific period (see para 8.2 of the instructions to tenderers).</w:t>
      </w:r>
    </w:p>
    <w:p w14:paraId="06A7CE02" w14:textId="77777777" w:rsidR="00D450A0" w:rsidRPr="00014AD5" w:rsidRDefault="00D450A0" w:rsidP="00D450A0">
      <w:pPr>
        <w:keepNext/>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Period of implementation of tasks</w:t>
      </w:r>
    </w:p>
    <w:p w14:paraId="6E96E9E8" w14:textId="77777777" w:rsidR="00D450A0" w:rsidRPr="00014AD5" w:rsidRDefault="00D450A0" w:rsidP="00D450A0">
      <w:pPr>
        <w:pStyle w:val="Blockquote"/>
        <w:ind w:left="709" w:right="1"/>
        <w:jc w:val="both"/>
        <w:rPr>
          <w:rFonts w:ascii="Times New Roman" w:hAnsi="Times New Roman"/>
          <w:sz w:val="22"/>
          <w:szCs w:val="22"/>
          <w:lang w:val="en-GB"/>
        </w:rPr>
      </w:pPr>
      <w:r w:rsidRPr="00014AD5">
        <w:rPr>
          <w:rFonts w:ascii="Times New Roman" w:hAnsi="Times New Roman"/>
          <w:sz w:val="22"/>
          <w:szCs w:val="22"/>
          <w:lang w:val="en-GB"/>
        </w:rPr>
        <w:t>The goods must be delivered within 60 days, from contract signature, or alternative date, until the provisional acceptance.</w:t>
      </w:r>
    </w:p>
    <w:p w14:paraId="2E98588D" w14:textId="77777777" w:rsidR="00D450A0" w:rsidRPr="00014AD5" w:rsidRDefault="00D450A0" w:rsidP="00D450A0">
      <w:pPr>
        <w:rPr>
          <w:rFonts w:ascii="Times New Roman" w:hAnsi="Times New Roman"/>
          <w:sz w:val="22"/>
          <w:szCs w:val="22"/>
        </w:rPr>
      </w:pPr>
    </w:p>
    <w:p w14:paraId="2589E906" w14:textId="77777777" w:rsidR="00D450A0" w:rsidRPr="00014AD5" w:rsidRDefault="00D450A0" w:rsidP="00D450A0">
      <w:pPr>
        <w:ind w:left="360"/>
        <w:jc w:val="center"/>
        <w:rPr>
          <w:rStyle w:val="Strong"/>
          <w:rFonts w:ascii="Times New Roman" w:hAnsi="Times New Roman"/>
          <w:sz w:val="22"/>
          <w:szCs w:val="22"/>
        </w:rPr>
      </w:pPr>
      <w:r w:rsidRPr="00014AD5">
        <w:rPr>
          <w:rStyle w:val="Strong"/>
          <w:rFonts w:ascii="Times New Roman" w:hAnsi="Times New Roman"/>
          <w:sz w:val="22"/>
          <w:szCs w:val="22"/>
        </w:rPr>
        <w:t>SELECTION AND AWARD CRITERIA</w:t>
      </w:r>
    </w:p>
    <w:p w14:paraId="36BD4FD1" w14:textId="77777777" w:rsidR="00D450A0" w:rsidRPr="00014AD5" w:rsidRDefault="00D450A0" w:rsidP="00D450A0">
      <w:pPr>
        <w:widowControl w:val="0"/>
        <w:numPr>
          <w:ilvl w:val="0"/>
          <w:numId w:val="2"/>
        </w:numPr>
        <w:tabs>
          <w:tab w:val="clear" w:pos="810"/>
          <w:tab w:val="num" w:pos="709"/>
        </w:tabs>
        <w:spacing w:before="100" w:after="100"/>
        <w:ind w:left="709" w:hanging="425"/>
        <w:outlineLvl w:val="0"/>
        <w:rPr>
          <w:rStyle w:val="Strong"/>
          <w:rFonts w:ascii="Times New Roman" w:hAnsi="Times New Roman"/>
          <w:sz w:val="22"/>
          <w:szCs w:val="22"/>
        </w:rPr>
      </w:pPr>
      <w:r w:rsidRPr="00014AD5">
        <w:rPr>
          <w:rStyle w:val="Strong"/>
          <w:rFonts w:ascii="Times New Roman" w:hAnsi="Times New Roman"/>
          <w:sz w:val="22"/>
          <w:szCs w:val="22"/>
        </w:rPr>
        <w:t xml:space="preserve">Selection criteria </w:t>
      </w:r>
    </w:p>
    <w:p w14:paraId="17ABC717" w14:textId="77777777" w:rsidR="00D450A0" w:rsidRPr="00014AD5" w:rsidRDefault="00D450A0" w:rsidP="00D450A0">
      <w:pPr>
        <w:pStyle w:val="Blockquote"/>
        <w:ind w:left="709"/>
        <w:jc w:val="both"/>
        <w:rPr>
          <w:rFonts w:ascii="Times New Roman" w:hAnsi="Times New Roman"/>
          <w:sz w:val="22"/>
          <w:szCs w:val="22"/>
          <w:lang w:val="en-GB"/>
        </w:rPr>
      </w:pPr>
      <w:r w:rsidRPr="00014AD5">
        <w:rPr>
          <w:rFonts w:ascii="Times New Roman" w:hAnsi="Times New Roman"/>
          <w:sz w:val="22"/>
          <w:szCs w:val="22"/>
          <w:lang w:val="en-GB"/>
        </w:rPr>
        <w:t>The following selection criteria will be applied to tenderers. In the case of tenders submitted by a consortium, these selection criteria will be applied to the consortium as a whole</w:t>
      </w:r>
      <w:r w:rsidRPr="00014AD5">
        <w:rPr>
          <w:rFonts w:ascii="Times New Roman" w:hAnsi="Times New Roman"/>
          <w:sz w:val="22"/>
          <w:szCs w:val="22"/>
        </w:rPr>
        <w:t xml:space="preserve"> unless</w:t>
      </w:r>
      <w:r w:rsidRPr="00014AD5">
        <w:rPr>
          <w:rFonts w:ascii="Times New Roman" w:hAnsi="Times New Roman"/>
          <w:sz w:val="22"/>
          <w:szCs w:val="22"/>
          <w:lang w:val="en-GB"/>
        </w:rPr>
        <w:t xml:space="preserve"> specified otherwise. The selection criteria will not be applied to natural persons and single-member companies when they are sub-contractors:</w:t>
      </w:r>
    </w:p>
    <w:p w14:paraId="34017FBE" w14:textId="77777777" w:rsidR="00D450A0" w:rsidRPr="00014AD5" w:rsidRDefault="00D450A0" w:rsidP="00D450A0">
      <w:pPr>
        <w:pStyle w:val="Blockquote"/>
        <w:ind w:left="1134" w:right="357" w:hanging="284"/>
        <w:jc w:val="both"/>
        <w:rPr>
          <w:rFonts w:ascii="Times New Roman" w:hAnsi="Times New Roman"/>
          <w:sz w:val="22"/>
          <w:szCs w:val="22"/>
          <w:lang w:val="en-GB"/>
        </w:rPr>
      </w:pPr>
      <w:r w:rsidRPr="00014AD5">
        <w:rPr>
          <w:rFonts w:ascii="Times New Roman" w:hAnsi="Times New Roman"/>
          <w:sz w:val="22"/>
          <w:szCs w:val="22"/>
          <w:lang w:val="en-GB"/>
        </w:rPr>
        <w:t>1)</w:t>
      </w:r>
      <w:r w:rsidRPr="00014AD5">
        <w:rPr>
          <w:rFonts w:ascii="Times New Roman" w:hAnsi="Times New Roman"/>
          <w:sz w:val="22"/>
          <w:szCs w:val="22"/>
          <w:lang w:val="en-GB"/>
        </w:rPr>
        <w:tab/>
        <w:t>Economic and financial capacity of tenderer</w:t>
      </w:r>
      <w:r w:rsidRPr="00014AD5">
        <w:rPr>
          <w:rFonts w:ascii="Times New Roman" w:hAnsi="Times New Roman"/>
          <w:i/>
          <w:sz w:val="22"/>
          <w:szCs w:val="22"/>
          <w:lang w:val="en-GB"/>
        </w:rPr>
        <w:t xml:space="preserve"> </w:t>
      </w:r>
      <w:r w:rsidRPr="00014AD5">
        <w:rPr>
          <w:rFonts w:ascii="Times New Roman" w:hAnsi="Times New Roman"/>
          <w:sz w:val="22"/>
          <w:szCs w:val="22"/>
          <w:lang w:val="en-GB"/>
        </w:rPr>
        <w:t xml:space="preserve">(based on </w:t>
      </w:r>
      <w:proofErr w:type="spellStart"/>
      <w:r w:rsidRPr="00014AD5">
        <w:rPr>
          <w:rFonts w:ascii="Times New Roman" w:hAnsi="Times New Roman"/>
          <w:sz w:val="22"/>
          <w:szCs w:val="22"/>
          <w:lang w:val="en-GB"/>
        </w:rPr>
        <w:t>i.a.</w:t>
      </w:r>
      <w:proofErr w:type="spellEnd"/>
      <w:r w:rsidRPr="00014AD5">
        <w:rPr>
          <w:rFonts w:ascii="Times New Roman" w:hAnsi="Times New Roman"/>
          <w:sz w:val="22"/>
          <w:szCs w:val="22"/>
          <w:lang w:val="en-GB"/>
        </w:rPr>
        <w:t xml:space="preserve"> item 3 of the Tender Form for a Supply Contract). In case of tenderer being a public body, equivalent information should be provided. The reference period which will be taken into account will be the last three years for which accounts have been closed.</w:t>
      </w:r>
    </w:p>
    <w:p w14:paraId="388E7351" w14:textId="20E782EE" w:rsidR="00D450A0" w:rsidRDefault="00D450A0" w:rsidP="00D450A0">
      <w:pPr>
        <w:ind w:left="414" w:firstLine="720"/>
        <w:rPr>
          <w:rFonts w:ascii="Times New Roman" w:hAnsi="Times New Roman"/>
          <w:sz w:val="22"/>
          <w:szCs w:val="22"/>
        </w:rPr>
      </w:pPr>
      <w:r w:rsidRPr="00014AD5">
        <w:rPr>
          <w:rFonts w:ascii="Times New Roman" w:hAnsi="Times New Roman"/>
          <w:sz w:val="22"/>
          <w:szCs w:val="22"/>
        </w:rPr>
        <w:t>The selection criteria for tenderer</w:t>
      </w:r>
      <w:r w:rsidR="00863779">
        <w:rPr>
          <w:rFonts w:ascii="Times New Roman" w:hAnsi="Times New Roman"/>
          <w:sz w:val="22"/>
          <w:szCs w:val="22"/>
        </w:rPr>
        <w:t>s to Lot no. 1 are as follows</w:t>
      </w:r>
      <w:r w:rsidRPr="00014AD5">
        <w:rPr>
          <w:rFonts w:ascii="Times New Roman" w:hAnsi="Times New Roman"/>
          <w:sz w:val="22"/>
          <w:szCs w:val="22"/>
        </w:rPr>
        <w:t>:</w:t>
      </w:r>
    </w:p>
    <w:p w14:paraId="5D8C7174" w14:textId="6D380B6A" w:rsidR="00863779" w:rsidRDefault="00863779" w:rsidP="00863779">
      <w:pPr>
        <w:ind w:left="1134"/>
        <w:rPr>
          <w:rFonts w:ascii="Times New Roman" w:hAnsi="Times New Roman"/>
          <w:sz w:val="22"/>
          <w:szCs w:val="22"/>
        </w:rPr>
      </w:pPr>
      <w:r>
        <w:rPr>
          <w:rFonts w:ascii="Times New Roman" w:hAnsi="Times New Roman"/>
          <w:sz w:val="22"/>
          <w:szCs w:val="22"/>
        </w:rPr>
        <w:t>The average annual turnover of the tenderer for the last 3 years must be at least UGX 150,000,000 Uganda Shillings</w:t>
      </w:r>
    </w:p>
    <w:p w14:paraId="1066A214" w14:textId="55B5B067" w:rsidR="00863779" w:rsidRDefault="00863779" w:rsidP="00863779">
      <w:pPr>
        <w:ind w:left="414" w:firstLine="720"/>
        <w:rPr>
          <w:rFonts w:ascii="Times New Roman" w:hAnsi="Times New Roman"/>
          <w:sz w:val="22"/>
          <w:szCs w:val="22"/>
        </w:rPr>
      </w:pPr>
      <w:r w:rsidRPr="00014AD5">
        <w:rPr>
          <w:rFonts w:ascii="Times New Roman" w:hAnsi="Times New Roman"/>
          <w:sz w:val="22"/>
          <w:szCs w:val="22"/>
        </w:rPr>
        <w:t>The selection criteria for tenderer</w:t>
      </w:r>
      <w:r>
        <w:rPr>
          <w:rFonts w:ascii="Times New Roman" w:hAnsi="Times New Roman"/>
          <w:sz w:val="22"/>
          <w:szCs w:val="22"/>
        </w:rPr>
        <w:t>s to Lot no. 2 are as follows</w:t>
      </w:r>
      <w:r w:rsidRPr="00014AD5">
        <w:rPr>
          <w:rFonts w:ascii="Times New Roman" w:hAnsi="Times New Roman"/>
          <w:sz w:val="22"/>
          <w:szCs w:val="22"/>
        </w:rPr>
        <w:t>:</w:t>
      </w:r>
    </w:p>
    <w:p w14:paraId="363D3F67" w14:textId="763F41EB" w:rsidR="00863779" w:rsidRDefault="00863779" w:rsidP="00863779">
      <w:pPr>
        <w:ind w:left="1134"/>
        <w:rPr>
          <w:rFonts w:ascii="Times New Roman" w:hAnsi="Times New Roman"/>
          <w:sz w:val="22"/>
          <w:szCs w:val="22"/>
        </w:rPr>
      </w:pPr>
      <w:r>
        <w:rPr>
          <w:rFonts w:ascii="Times New Roman" w:hAnsi="Times New Roman"/>
          <w:sz w:val="22"/>
          <w:szCs w:val="22"/>
        </w:rPr>
        <w:t>The average annual turnover of the tenderer for the last 3 years must be at least UGX 200,000,000 Uganda Shillings</w:t>
      </w:r>
    </w:p>
    <w:p w14:paraId="063C301D" w14:textId="42BA754B" w:rsidR="00D450A0" w:rsidRPr="00014AD5" w:rsidRDefault="00863779" w:rsidP="00863779">
      <w:pPr>
        <w:ind w:left="1134"/>
        <w:rPr>
          <w:rFonts w:ascii="Times New Roman" w:hAnsi="Times New Roman"/>
          <w:sz w:val="22"/>
          <w:szCs w:val="22"/>
        </w:rPr>
      </w:pPr>
      <w:r>
        <w:rPr>
          <w:rFonts w:ascii="Times New Roman" w:hAnsi="Times New Roman"/>
          <w:sz w:val="22"/>
          <w:szCs w:val="22"/>
        </w:rPr>
        <w:t>Tenderers for more than one lot must have the cumulative turnover required for the specific number of lots being applied for.</w:t>
      </w:r>
      <w:r w:rsidR="00D450A0" w:rsidRPr="00014AD5">
        <w:rPr>
          <w:rFonts w:ascii="Times New Roman" w:hAnsi="Times New Roman"/>
          <w:sz w:val="22"/>
          <w:szCs w:val="22"/>
        </w:rPr>
        <w:t xml:space="preserve"> </w:t>
      </w:r>
    </w:p>
    <w:p w14:paraId="4E0E8A06" w14:textId="06329A30" w:rsidR="00D450A0" w:rsidRDefault="00D450A0" w:rsidP="00D450A0">
      <w:pPr>
        <w:pStyle w:val="Blockquote"/>
        <w:ind w:left="1134" w:right="1" w:hanging="284"/>
        <w:jc w:val="both"/>
        <w:rPr>
          <w:rFonts w:ascii="Times New Roman" w:hAnsi="Times New Roman"/>
          <w:sz w:val="22"/>
          <w:szCs w:val="22"/>
          <w:lang w:val="en-GB"/>
        </w:rPr>
      </w:pPr>
      <w:r w:rsidRPr="00014AD5">
        <w:rPr>
          <w:rFonts w:ascii="Times New Roman" w:hAnsi="Times New Roman"/>
          <w:sz w:val="22"/>
          <w:szCs w:val="22"/>
          <w:lang w:val="en-GB"/>
        </w:rPr>
        <w:t>2)</w:t>
      </w:r>
      <w:r w:rsidRPr="00014AD5">
        <w:rPr>
          <w:rFonts w:ascii="Times New Roman" w:hAnsi="Times New Roman"/>
          <w:sz w:val="22"/>
          <w:szCs w:val="22"/>
          <w:lang w:val="en-GB"/>
        </w:rPr>
        <w:tab/>
        <w:t xml:space="preserve">Professional capacity of tenderer (based on </w:t>
      </w:r>
      <w:proofErr w:type="spellStart"/>
      <w:r w:rsidRPr="00014AD5">
        <w:rPr>
          <w:rFonts w:ascii="Times New Roman" w:hAnsi="Times New Roman"/>
          <w:sz w:val="22"/>
          <w:szCs w:val="22"/>
          <w:lang w:val="en-GB"/>
        </w:rPr>
        <w:t>i.a.</w:t>
      </w:r>
      <w:proofErr w:type="spellEnd"/>
      <w:r w:rsidRPr="00014AD5">
        <w:rPr>
          <w:rFonts w:ascii="Times New Roman" w:hAnsi="Times New Roman"/>
          <w:sz w:val="22"/>
          <w:szCs w:val="22"/>
          <w:lang w:val="en-GB"/>
        </w:rPr>
        <w:t xml:space="preserve"> items 4 and 5 of the Tender Form for a Supply Contract). The reference period which will be taken into account will be the last 3 years from </w:t>
      </w:r>
      <w:r w:rsidRPr="00014AD5">
        <w:rPr>
          <w:rFonts w:ascii="Times New Roman" w:hAnsi="Times New Roman"/>
          <w:sz w:val="22"/>
          <w:szCs w:val="22"/>
          <w:lang w:val="en-GB"/>
        </w:rPr>
        <w:lastRenderedPageBreak/>
        <w:t>submission deadline.</w:t>
      </w:r>
    </w:p>
    <w:p w14:paraId="5E51D20B" w14:textId="03F3C917" w:rsidR="00863779" w:rsidRDefault="00863779" w:rsidP="00D450A0">
      <w:pPr>
        <w:pStyle w:val="Blockquote"/>
        <w:ind w:left="1134" w:right="1" w:hanging="284"/>
        <w:jc w:val="both"/>
        <w:rPr>
          <w:rFonts w:ascii="Times New Roman" w:hAnsi="Times New Roman"/>
          <w:sz w:val="22"/>
          <w:szCs w:val="22"/>
          <w:lang w:val="en-GB"/>
        </w:rPr>
      </w:pPr>
    </w:p>
    <w:p w14:paraId="33548395" w14:textId="4C48C3B2" w:rsidR="00863779" w:rsidRPr="00863779" w:rsidRDefault="00863779" w:rsidP="00863779">
      <w:pPr>
        <w:pStyle w:val="Blockquote"/>
        <w:ind w:left="1134" w:right="1" w:hanging="284"/>
        <w:jc w:val="both"/>
        <w:rPr>
          <w:rFonts w:ascii="Times New Roman" w:hAnsi="Times New Roman"/>
          <w:b/>
          <w:bCs/>
          <w:sz w:val="22"/>
          <w:szCs w:val="22"/>
          <w:lang w:val="en-GB"/>
        </w:rPr>
      </w:pPr>
      <w:r>
        <w:rPr>
          <w:rFonts w:ascii="Times New Roman" w:hAnsi="Times New Roman"/>
          <w:sz w:val="22"/>
          <w:szCs w:val="22"/>
          <w:lang w:val="en-GB"/>
        </w:rPr>
        <w:tab/>
      </w:r>
      <w:r w:rsidRPr="00863779">
        <w:rPr>
          <w:rFonts w:ascii="Times New Roman" w:hAnsi="Times New Roman"/>
          <w:b/>
          <w:bCs/>
          <w:sz w:val="22"/>
          <w:szCs w:val="22"/>
          <w:lang w:val="en-GB"/>
        </w:rPr>
        <w:t>These apply to Lots 1 and 2</w:t>
      </w:r>
    </w:p>
    <w:p w14:paraId="6EBD4373" w14:textId="055B1879" w:rsidR="00863779" w:rsidRDefault="00863779" w:rsidP="00D450A0">
      <w:pPr>
        <w:numPr>
          <w:ilvl w:val="0"/>
          <w:numId w:val="4"/>
        </w:numPr>
        <w:tabs>
          <w:tab w:val="left" w:pos="1701"/>
        </w:tabs>
        <w:spacing w:before="0"/>
        <w:ind w:left="1710" w:right="343"/>
        <w:jc w:val="both"/>
        <w:rPr>
          <w:rFonts w:ascii="Times New Roman" w:hAnsi="Times New Roman"/>
          <w:sz w:val="22"/>
          <w:szCs w:val="22"/>
        </w:rPr>
      </w:pPr>
      <w:r>
        <w:rPr>
          <w:rFonts w:ascii="Times New Roman" w:hAnsi="Times New Roman"/>
          <w:sz w:val="22"/>
          <w:szCs w:val="22"/>
        </w:rPr>
        <w:t>The tenderer must be a firm duly registered and authorised to carry out supplies specified under this contract according to the national laws such trading licence from the local authority permitting the supply of the specified commodities (</w:t>
      </w:r>
      <w:r w:rsidRPr="00863779">
        <w:rPr>
          <w:rFonts w:ascii="Times New Roman" w:hAnsi="Times New Roman"/>
          <w:b/>
          <w:bCs/>
          <w:sz w:val="22"/>
          <w:szCs w:val="22"/>
        </w:rPr>
        <w:t>copies of certificates are to be included in the tender</w:t>
      </w:r>
      <w:r>
        <w:rPr>
          <w:rFonts w:ascii="Times New Roman" w:hAnsi="Times New Roman"/>
          <w:sz w:val="22"/>
          <w:szCs w:val="22"/>
        </w:rPr>
        <w:t>): and</w:t>
      </w:r>
    </w:p>
    <w:p w14:paraId="1ED1D895" w14:textId="12C6977A" w:rsidR="00D450A0" w:rsidRPr="00014AD5" w:rsidRDefault="00D450A0" w:rsidP="00D450A0">
      <w:pPr>
        <w:numPr>
          <w:ilvl w:val="0"/>
          <w:numId w:val="4"/>
        </w:numPr>
        <w:tabs>
          <w:tab w:val="left" w:pos="1701"/>
        </w:tabs>
        <w:spacing w:before="0"/>
        <w:ind w:left="1710" w:right="343"/>
        <w:jc w:val="both"/>
        <w:rPr>
          <w:rFonts w:ascii="Times New Roman" w:hAnsi="Times New Roman"/>
          <w:sz w:val="22"/>
          <w:szCs w:val="22"/>
        </w:rPr>
      </w:pPr>
      <w:r w:rsidRPr="00014AD5">
        <w:rPr>
          <w:rFonts w:ascii="Times New Roman" w:hAnsi="Times New Roman"/>
          <w:sz w:val="22"/>
          <w:szCs w:val="22"/>
        </w:rPr>
        <w:t>Has a professional certificate appropriate to this contract (e.g. a manufacturer’s authorisation letter) allowing him to deal in these supplies.</w:t>
      </w:r>
    </w:p>
    <w:p w14:paraId="736E7BC8" w14:textId="7043DF47" w:rsidR="00D450A0" w:rsidRPr="00014AD5" w:rsidRDefault="00215EAD" w:rsidP="00D450A0">
      <w:pPr>
        <w:numPr>
          <w:ilvl w:val="0"/>
          <w:numId w:val="4"/>
        </w:numPr>
        <w:tabs>
          <w:tab w:val="left" w:pos="1701"/>
        </w:tabs>
        <w:spacing w:before="0"/>
        <w:ind w:left="1710" w:right="343"/>
        <w:jc w:val="both"/>
        <w:rPr>
          <w:rFonts w:ascii="Times New Roman" w:hAnsi="Times New Roman"/>
          <w:sz w:val="22"/>
          <w:szCs w:val="22"/>
        </w:rPr>
      </w:pPr>
      <w:r>
        <w:rPr>
          <w:rFonts w:ascii="Times New Roman" w:hAnsi="Times New Roman"/>
          <w:sz w:val="22"/>
          <w:szCs w:val="22"/>
        </w:rPr>
        <w:t>A</w:t>
      </w:r>
      <w:r w:rsidR="00D450A0" w:rsidRPr="00014AD5">
        <w:rPr>
          <w:rFonts w:ascii="Times New Roman" w:hAnsi="Times New Roman"/>
          <w:sz w:val="22"/>
          <w:szCs w:val="22"/>
        </w:rPr>
        <w:t xml:space="preserve">t least 3 staff </w:t>
      </w:r>
      <w:r>
        <w:rPr>
          <w:rFonts w:ascii="Times New Roman" w:hAnsi="Times New Roman"/>
          <w:sz w:val="22"/>
          <w:szCs w:val="22"/>
        </w:rPr>
        <w:t>currently work for the tenderer in field related to this contract.</w:t>
      </w:r>
    </w:p>
    <w:p w14:paraId="0AF13B5E" w14:textId="7A01E891" w:rsidR="00215EAD" w:rsidRDefault="00D450A0" w:rsidP="00215EAD">
      <w:pPr>
        <w:pStyle w:val="Blockquote"/>
        <w:ind w:left="1350" w:right="1" w:hanging="500"/>
        <w:jc w:val="both"/>
        <w:rPr>
          <w:rFonts w:ascii="Times New Roman" w:hAnsi="Times New Roman"/>
          <w:sz w:val="22"/>
          <w:szCs w:val="22"/>
          <w:lang w:val="en-GB"/>
        </w:rPr>
      </w:pPr>
      <w:r w:rsidRPr="00014AD5">
        <w:rPr>
          <w:rFonts w:ascii="Times New Roman" w:hAnsi="Times New Roman"/>
          <w:sz w:val="22"/>
          <w:szCs w:val="22"/>
          <w:lang w:val="en-GB"/>
        </w:rPr>
        <w:t xml:space="preserve">3) </w:t>
      </w:r>
      <w:r w:rsidRPr="00014AD5">
        <w:rPr>
          <w:rFonts w:ascii="Times New Roman" w:hAnsi="Times New Roman"/>
          <w:sz w:val="22"/>
          <w:szCs w:val="22"/>
          <w:lang w:val="en-GB"/>
        </w:rPr>
        <w:tab/>
        <w:t xml:space="preserve">Technical capacity of tenderer </w:t>
      </w:r>
      <w:r w:rsidRPr="00014AD5">
        <w:rPr>
          <w:rFonts w:ascii="Times New Roman" w:hAnsi="Times New Roman"/>
          <w:i/>
          <w:sz w:val="22"/>
          <w:szCs w:val="22"/>
          <w:lang w:val="en-GB"/>
        </w:rPr>
        <w:t>(</w:t>
      </w:r>
      <w:r w:rsidRPr="00014AD5">
        <w:rPr>
          <w:rFonts w:ascii="Times New Roman" w:hAnsi="Times New Roman"/>
          <w:sz w:val="22"/>
          <w:szCs w:val="22"/>
          <w:lang w:val="en-GB"/>
        </w:rPr>
        <w:t xml:space="preserve">based on </w:t>
      </w:r>
      <w:proofErr w:type="spellStart"/>
      <w:r w:rsidRPr="00014AD5">
        <w:rPr>
          <w:rFonts w:ascii="Times New Roman" w:hAnsi="Times New Roman"/>
          <w:sz w:val="22"/>
          <w:szCs w:val="22"/>
          <w:lang w:val="en-GB"/>
        </w:rPr>
        <w:t>i.a.</w:t>
      </w:r>
      <w:proofErr w:type="spellEnd"/>
      <w:r w:rsidRPr="00014AD5">
        <w:rPr>
          <w:rFonts w:ascii="Times New Roman" w:hAnsi="Times New Roman"/>
          <w:sz w:val="22"/>
          <w:szCs w:val="22"/>
          <w:lang w:val="en-GB"/>
        </w:rPr>
        <w:t xml:space="preserve"> items 5 and 6 of the Tender Form for a Supply Contract). The reference period which will be taken into account will be the last 3 years from submission deadline.</w:t>
      </w:r>
    </w:p>
    <w:p w14:paraId="291A88E1" w14:textId="3643F1CC" w:rsidR="00215EAD" w:rsidRDefault="00215EAD" w:rsidP="00215EAD">
      <w:pPr>
        <w:ind w:left="630" w:firstLine="720"/>
        <w:rPr>
          <w:rFonts w:ascii="Times New Roman" w:hAnsi="Times New Roman"/>
          <w:sz w:val="22"/>
          <w:szCs w:val="22"/>
        </w:rPr>
      </w:pPr>
      <w:r w:rsidRPr="00014AD5">
        <w:rPr>
          <w:rFonts w:ascii="Times New Roman" w:hAnsi="Times New Roman"/>
          <w:sz w:val="22"/>
          <w:szCs w:val="22"/>
        </w:rPr>
        <w:t>The selection criteria for tenderer</w:t>
      </w:r>
      <w:r>
        <w:rPr>
          <w:rFonts w:ascii="Times New Roman" w:hAnsi="Times New Roman"/>
          <w:sz w:val="22"/>
          <w:szCs w:val="22"/>
        </w:rPr>
        <w:t>s to Lot no. 1 are as follows</w:t>
      </w:r>
      <w:r w:rsidRPr="00014AD5">
        <w:rPr>
          <w:rFonts w:ascii="Times New Roman" w:hAnsi="Times New Roman"/>
          <w:sz w:val="22"/>
          <w:szCs w:val="22"/>
        </w:rPr>
        <w:t>:</w:t>
      </w:r>
    </w:p>
    <w:p w14:paraId="4F6A1439" w14:textId="3BA37576" w:rsidR="00D450A0" w:rsidRPr="00014AD5" w:rsidRDefault="00D450A0" w:rsidP="00D450A0">
      <w:pPr>
        <w:numPr>
          <w:ilvl w:val="0"/>
          <w:numId w:val="5"/>
        </w:numPr>
        <w:spacing w:before="0"/>
        <w:ind w:left="1800" w:right="343" w:hanging="450"/>
        <w:jc w:val="both"/>
        <w:rPr>
          <w:rFonts w:ascii="Times New Roman" w:hAnsi="Times New Roman"/>
          <w:sz w:val="22"/>
          <w:szCs w:val="22"/>
        </w:rPr>
      </w:pPr>
      <w:r w:rsidRPr="00014AD5">
        <w:rPr>
          <w:rFonts w:ascii="Times New Roman" w:hAnsi="Times New Roman"/>
          <w:sz w:val="22"/>
          <w:szCs w:val="22"/>
        </w:rPr>
        <w:t xml:space="preserve">The tenderer has delivered supplies under at least two contracts with a budget of at least UGX </w:t>
      </w:r>
      <w:r w:rsidR="00215EAD">
        <w:rPr>
          <w:rFonts w:ascii="Times New Roman" w:hAnsi="Times New Roman"/>
          <w:sz w:val="22"/>
          <w:szCs w:val="22"/>
        </w:rPr>
        <w:t>150</w:t>
      </w:r>
      <w:r w:rsidRPr="00014AD5">
        <w:rPr>
          <w:rFonts w:ascii="Times New Roman" w:hAnsi="Times New Roman"/>
          <w:sz w:val="22"/>
          <w:szCs w:val="22"/>
        </w:rPr>
        <w:t xml:space="preserve">.000.000,00 internationally or in Uganda which were implemented during the following period:  3 years from the submission deadline of tender </w:t>
      </w:r>
      <w:r w:rsidR="00215EAD">
        <w:rPr>
          <w:rFonts w:ascii="Times New Roman" w:hAnsi="Times New Roman"/>
          <w:sz w:val="22"/>
          <w:szCs w:val="22"/>
        </w:rPr>
        <w:t>(2016 to 2019)</w:t>
      </w:r>
    </w:p>
    <w:p w14:paraId="613D831A" w14:textId="77777777" w:rsidR="00215EAD" w:rsidRPr="00215EAD" w:rsidRDefault="00215EAD" w:rsidP="00215EAD">
      <w:pPr>
        <w:pStyle w:val="ListParagraph"/>
        <w:ind w:left="1080" w:firstLine="270"/>
        <w:rPr>
          <w:rFonts w:ascii="Times New Roman" w:hAnsi="Times New Roman"/>
        </w:rPr>
      </w:pPr>
      <w:r w:rsidRPr="00215EAD">
        <w:rPr>
          <w:rFonts w:ascii="Times New Roman" w:hAnsi="Times New Roman"/>
        </w:rPr>
        <w:t>The selection criteria for tenderers to Lot no. 2 are as follows:</w:t>
      </w:r>
    </w:p>
    <w:p w14:paraId="51450E2C" w14:textId="6C6D0136" w:rsidR="00215EAD" w:rsidRDefault="00215EAD" w:rsidP="00215EAD">
      <w:pPr>
        <w:pStyle w:val="Blockquote"/>
        <w:numPr>
          <w:ilvl w:val="0"/>
          <w:numId w:val="7"/>
        </w:numPr>
        <w:ind w:right="1"/>
        <w:jc w:val="both"/>
        <w:rPr>
          <w:rFonts w:ascii="Times New Roman" w:hAnsi="Times New Roman"/>
          <w:sz w:val="22"/>
          <w:szCs w:val="22"/>
          <w:lang w:val="en-GB"/>
        </w:rPr>
      </w:pPr>
      <w:r w:rsidRPr="00014AD5">
        <w:rPr>
          <w:rFonts w:ascii="Times New Roman" w:hAnsi="Times New Roman"/>
          <w:sz w:val="22"/>
          <w:szCs w:val="22"/>
        </w:rPr>
        <w:t xml:space="preserve">The tenderer has delivered supplies under at least two contracts with a budget of at least UGX </w:t>
      </w:r>
      <w:r>
        <w:rPr>
          <w:rFonts w:ascii="Times New Roman" w:hAnsi="Times New Roman"/>
          <w:sz w:val="22"/>
          <w:szCs w:val="22"/>
        </w:rPr>
        <w:t>200</w:t>
      </w:r>
      <w:r w:rsidRPr="00014AD5">
        <w:rPr>
          <w:rFonts w:ascii="Times New Roman" w:hAnsi="Times New Roman"/>
          <w:sz w:val="22"/>
          <w:szCs w:val="22"/>
        </w:rPr>
        <w:t xml:space="preserve">.000.000,00 internationally or in Uganda which were implemented during the following period:  3 years from the submission deadline of tender </w:t>
      </w:r>
      <w:r>
        <w:rPr>
          <w:rFonts w:ascii="Times New Roman" w:hAnsi="Times New Roman"/>
          <w:sz w:val="22"/>
          <w:szCs w:val="22"/>
        </w:rPr>
        <w:t>(2016 to 2019)</w:t>
      </w:r>
    </w:p>
    <w:p w14:paraId="3396B73C" w14:textId="4835C14A" w:rsidR="00D450A0" w:rsidRPr="00014AD5" w:rsidRDefault="00D450A0" w:rsidP="00D450A0">
      <w:pPr>
        <w:pStyle w:val="Blockquote"/>
        <w:ind w:left="1134" w:right="1"/>
        <w:jc w:val="both"/>
        <w:rPr>
          <w:rFonts w:ascii="Times New Roman" w:hAnsi="Times New Roman"/>
          <w:sz w:val="22"/>
          <w:szCs w:val="22"/>
        </w:rPr>
      </w:pPr>
      <w:r w:rsidRPr="00014AD5">
        <w:rPr>
          <w:rFonts w:ascii="Times New Roman" w:hAnsi="Times New Roman"/>
          <w:sz w:val="22"/>
          <w:szCs w:val="22"/>
          <w:lang w:val="en-GB"/>
        </w:rPr>
        <w:t>This means that the contract the tenderer refers to could have been started or completed at any time during the indicated period but it does not necessarily have to be started and completed during that period, nor implemented during the entire period.</w:t>
      </w:r>
      <w:r w:rsidRPr="00014AD5">
        <w:rPr>
          <w:rFonts w:ascii="Times New Roman" w:hAnsi="Times New Roman"/>
          <w:sz w:val="22"/>
          <w:szCs w:val="22"/>
        </w:rPr>
        <w:t xml:space="preserve"> 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14:paraId="38003B2F" w14:textId="77777777" w:rsidR="00D450A0" w:rsidRPr="00014AD5" w:rsidRDefault="00D450A0" w:rsidP="00D450A0">
      <w:pPr>
        <w:pStyle w:val="Blockquote"/>
        <w:numPr>
          <w:ilvl w:val="0"/>
          <w:numId w:val="6"/>
        </w:numPr>
        <w:spacing w:before="0"/>
        <w:ind w:left="1800" w:right="1" w:hanging="450"/>
        <w:jc w:val="both"/>
        <w:rPr>
          <w:rFonts w:ascii="Times New Roman" w:hAnsi="Times New Roman"/>
          <w:sz w:val="22"/>
          <w:szCs w:val="22"/>
          <w:lang w:val="en-GB"/>
        </w:rPr>
      </w:pPr>
      <w:r w:rsidRPr="00014AD5">
        <w:rPr>
          <w:rFonts w:ascii="Times New Roman" w:hAnsi="Times New Roman"/>
          <w:sz w:val="22"/>
          <w:szCs w:val="22"/>
        </w:rPr>
        <w:t xml:space="preserve">Final acceptance or completion certificate (for Criteria 3a)). </w:t>
      </w:r>
    </w:p>
    <w:p w14:paraId="7BEB515D" w14:textId="77777777" w:rsidR="00D450A0" w:rsidRPr="00014AD5" w:rsidRDefault="00D450A0" w:rsidP="00D450A0">
      <w:pPr>
        <w:pStyle w:val="Blockquote"/>
        <w:keepLines/>
        <w:ind w:left="1134" w:right="1"/>
        <w:jc w:val="both"/>
        <w:rPr>
          <w:rFonts w:ascii="Times New Roman" w:hAnsi="Times New Roman"/>
          <w:sz w:val="22"/>
          <w:szCs w:val="22"/>
          <w:lang w:val="en-GB"/>
        </w:rPr>
      </w:pPr>
      <w:r w:rsidRPr="00014AD5">
        <w:rPr>
          <w:rFonts w:ascii="Times New Roman" w:hAnsi="Times New Roman"/>
          <w:sz w:val="22"/>
          <w:szCs w:val="22"/>
        </w:rPr>
        <w:t>Capacity-providing entities</w:t>
      </w:r>
      <w:r w:rsidRPr="00014AD5">
        <w:rPr>
          <w:rFonts w:ascii="Times New Roman" w:hAnsi="Times New Roman"/>
          <w:sz w:val="22"/>
          <w:szCs w:val="22"/>
          <w:lang w:val="en-GB"/>
        </w:rPr>
        <w:t xml:space="preserve"> </w:t>
      </w:r>
    </w:p>
    <w:p w14:paraId="0D9D4E15" w14:textId="77777777" w:rsidR="00D450A0" w:rsidRPr="00014AD5" w:rsidRDefault="00D450A0" w:rsidP="00D450A0">
      <w:pPr>
        <w:pStyle w:val="Blockquote"/>
        <w:keepLines/>
        <w:ind w:left="1134" w:right="1"/>
        <w:jc w:val="both"/>
        <w:rPr>
          <w:rFonts w:ascii="Times New Roman" w:hAnsi="Times New Roman"/>
          <w:sz w:val="22"/>
          <w:szCs w:val="22"/>
          <w:lang w:val="en-GB"/>
        </w:rPr>
      </w:pPr>
      <w:r w:rsidRPr="00014AD5">
        <w:rPr>
          <w:rFonts w:ascii="Times New Roman" w:hAnsi="Times New Roman"/>
          <w:sz w:val="22"/>
          <w:szCs w:val="22"/>
          <w:lang w:val="en-GB"/>
        </w:rPr>
        <w:t xml:space="preserve">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the tender rely on other entities it must prove to the Contracting Authority that it will have at its disposal the resources necessary for performance of the contract, for example by producing a </w:t>
      </w:r>
      <w:r w:rsidRPr="00014AD5">
        <w:rPr>
          <w:rFonts w:ascii="Times New Roman" w:hAnsi="Times New Roman"/>
          <w:sz w:val="22"/>
          <w:szCs w:val="22"/>
        </w:rPr>
        <w:t xml:space="preserve">commitment </w:t>
      </w:r>
      <w:r w:rsidRPr="00014AD5">
        <w:rPr>
          <w:rFonts w:ascii="Times New Roman" w:hAnsi="Times New Roman"/>
          <w:sz w:val="22"/>
          <w:szCs w:val="22"/>
          <w:lang w:val="en-GB"/>
        </w:rPr>
        <w:t>on the part of those entities to place those resources at its disposal. Such entities</w:t>
      </w:r>
      <w:r w:rsidRPr="00014AD5">
        <w:rPr>
          <w:rFonts w:ascii="Times New Roman" w:hAnsi="Times New Roman"/>
          <w:sz w:val="22"/>
          <w:szCs w:val="22"/>
        </w:rPr>
        <w:t xml:space="preserve">, for instance the parent company of the economic operator, </w:t>
      </w:r>
      <w:r w:rsidRPr="00014AD5">
        <w:rPr>
          <w:rFonts w:ascii="Times New Roman" w:hAnsi="Times New Roman"/>
          <w:sz w:val="22"/>
          <w:szCs w:val="22"/>
          <w:lang w:val="en-GB"/>
        </w:rPr>
        <w:t xml:space="preserve">must respect the same rules of eligibility and notably that of nationality, as the economic operator. Furthermore, the data for this third entity for the relevant selection criterion should be included in the tender in a separate document. Proof of the capacity will also have to be furnished when requested by the Contracting Authority. </w:t>
      </w:r>
    </w:p>
    <w:p w14:paraId="66C92151" w14:textId="77777777" w:rsidR="00D450A0" w:rsidRPr="00014AD5" w:rsidRDefault="00D450A0" w:rsidP="00D450A0">
      <w:pPr>
        <w:pStyle w:val="Blockquote"/>
        <w:keepLines/>
        <w:ind w:left="1134" w:right="1"/>
        <w:jc w:val="both"/>
        <w:rPr>
          <w:rFonts w:ascii="Times New Roman" w:hAnsi="Times New Roman"/>
          <w:sz w:val="22"/>
          <w:szCs w:val="22"/>
          <w:lang w:val="en-GB"/>
        </w:rPr>
      </w:pPr>
      <w:r w:rsidRPr="00014AD5">
        <w:rPr>
          <w:rFonts w:ascii="Times New Roman" w:hAnsi="Times New Roman"/>
          <w:sz w:val="22"/>
          <w:szCs w:val="22"/>
          <w:lang w:val="en-GB"/>
        </w:rPr>
        <w:t>With regard to technical and professional criteria, a tenderer may only rely on the capacities of other entities where the latter will perform the tasks for which these capacities are required.</w:t>
      </w:r>
    </w:p>
    <w:p w14:paraId="4D100847" w14:textId="2CD4750C" w:rsidR="00D450A0" w:rsidRDefault="00D450A0" w:rsidP="00D450A0">
      <w:pPr>
        <w:pStyle w:val="Blockquote"/>
        <w:keepLines/>
        <w:ind w:left="1134" w:right="1"/>
        <w:jc w:val="both"/>
        <w:rPr>
          <w:rFonts w:ascii="Times New Roman" w:hAnsi="Times New Roman"/>
          <w:sz w:val="22"/>
          <w:szCs w:val="22"/>
          <w:lang w:val="en-GB"/>
        </w:rPr>
      </w:pPr>
      <w:r w:rsidRPr="00014AD5">
        <w:rPr>
          <w:rFonts w:ascii="Times New Roman" w:hAnsi="Times New Roman"/>
          <w:sz w:val="22"/>
          <w:szCs w:val="22"/>
          <w:lang w:val="en-GB"/>
        </w:rPr>
        <w:lastRenderedPageBreak/>
        <w:t>With regard to economic and financial criteria, the entities upon whose capacity the tenderer relies, become jointly and severally liable for the performance of the contract.</w:t>
      </w:r>
    </w:p>
    <w:p w14:paraId="6D9B191C" w14:textId="73EF0479" w:rsidR="00215EAD" w:rsidRPr="00014AD5" w:rsidRDefault="00215EAD" w:rsidP="00D450A0">
      <w:pPr>
        <w:pStyle w:val="Blockquote"/>
        <w:keepLines/>
        <w:ind w:left="1134" w:right="1"/>
        <w:jc w:val="both"/>
        <w:rPr>
          <w:rFonts w:ascii="Times New Roman" w:hAnsi="Times New Roman"/>
          <w:sz w:val="22"/>
          <w:szCs w:val="22"/>
          <w:lang w:val="en-GB"/>
        </w:rPr>
      </w:pPr>
      <w:r>
        <w:rPr>
          <w:rFonts w:ascii="Times New Roman" w:hAnsi="Times New Roman"/>
          <w:sz w:val="22"/>
          <w:szCs w:val="22"/>
          <w:lang w:val="en-GB"/>
        </w:rPr>
        <w:t>With regard to economic and financial criteria, entities upon whose capacity the tenderer relies, become jointly and severally liable for the performance of the contract.</w:t>
      </w:r>
    </w:p>
    <w:p w14:paraId="7B1A5C30" w14:textId="77777777" w:rsidR="00D450A0" w:rsidRPr="00014AD5" w:rsidRDefault="00D450A0" w:rsidP="00D450A0">
      <w:pPr>
        <w:widowControl w:val="0"/>
        <w:numPr>
          <w:ilvl w:val="0"/>
          <w:numId w:val="2"/>
        </w:numPr>
        <w:tabs>
          <w:tab w:val="clear" w:pos="810"/>
          <w:tab w:val="num" w:pos="709"/>
        </w:tabs>
        <w:spacing w:before="100" w:after="100"/>
        <w:ind w:left="709" w:right="1" w:hanging="425"/>
        <w:outlineLvl w:val="0"/>
        <w:rPr>
          <w:rStyle w:val="Strong"/>
          <w:rFonts w:ascii="Times New Roman" w:hAnsi="Times New Roman"/>
          <w:sz w:val="22"/>
          <w:szCs w:val="22"/>
        </w:rPr>
      </w:pPr>
      <w:r w:rsidRPr="00014AD5">
        <w:rPr>
          <w:rStyle w:val="Strong"/>
          <w:rFonts w:ascii="Times New Roman" w:hAnsi="Times New Roman"/>
          <w:sz w:val="22"/>
          <w:szCs w:val="22"/>
        </w:rPr>
        <w:t>Award criteria</w:t>
      </w:r>
    </w:p>
    <w:p w14:paraId="3D4F99D2" w14:textId="77777777" w:rsidR="00D450A0" w:rsidRPr="00014AD5" w:rsidRDefault="00D450A0" w:rsidP="00D450A0">
      <w:pPr>
        <w:pStyle w:val="Blockquote"/>
        <w:ind w:left="709" w:right="1"/>
        <w:jc w:val="both"/>
        <w:rPr>
          <w:rFonts w:ascii="Times New Roman" w:hAnsi="Times New Roman"/>
          <w:sz w:val="22"/>
          <w:szCs w:val="22"/>
          <w:lang w:val="en-GB"/>
        </w:rPr>
      </w:pPr>
      <w:r w:rsidRPr="00014AD5">
        <w:rPr>
          <w:rFonts w:ascii="Times New Roman" w:hAnsi="Times New Roman"/>
          <w:sz w:val="22"/>
          <w:szCs w:val="22"/>
          <w:lang w:val="en-GB"/>
        </w:rPr>
        <w:t xml:space="preserve">Price (or, if appropriate after </w:t>
      </w:r>
      <w:r w:rsidRPr="00014AD5">
        <w:rPr>
          <w:rFonts w:ascii="Times New Roman" w:hAnsi="Times New Roman"/>
          <w:color w:val="000000"/>
          <w:sz w:val="22"/>
          <w:szCs w:val="22"/>
          <w:lang w:val="en-GB"/>
        </w:rPr>
        <w:t>prior approval</w:t>
      </w:r>
      <w:r w:rsidRPr="00014AD5">
        <w:rPr>
          <w:rFonts w:ascii="Times New Roman" w:hAnsi="Times New Roman"/>
          <w:sz w:val="22"/>
          <w:szCs w:val="22"/>
          <w:lang w:val="en-GB"/>
        </w:rPr>
        <w:t>, the best price-quality ratio which is a combination of quality and price)</w:t>
      </w:r>
    </w:p>
    <w:p w14:paraId="31CCD4D9" w14:textId="77777777" w:rsidR="00D450A0" w:rsidRPr="00014AD5" w:rsidRDefault="00D450A0" w:rsidP="00D450A0">
      <w:pPr>
        <w:spacing w:before="300"/>
        <w:ind w:right="1"/>
        <w:jc w:val="center"/>
        <w:rPr>
          <w:rStyle w:val="Strong"/>
          <w:rFonts w:ascii="Times New Roman" w:hAnsi="Times New Roman"/>
          <w:sz w:val="22"/>
          <w:szCs w:val="22"/>
        </w:rPr>
      </w:pPr>
      <w:r w:rsidRPr="00014AD5">
        <w:rPr>
          <w:rStyle w:val="Strong"/>
          <w:rFonts w:ascii="Times New Roman" w:hAnsi="Times New Roman"/>
          <w:sz w:val="22"/>
          <w:szCs w:val="22"/>
        </w:rPr>
        <w:t>TENDERING</w:t>
      </w:r>
    </w:p>
    <w:p w14:paraId="1A0E4E38" w14:textId="77777777" w:rsidR="00D450A0" w:rsidRPr="007F6F4E" w:rsidRDefault="00D450A0" w:rsidP="00D450A0">
      <w:pPr>
        <w:widowControl w:val="0"/>
        <w:numPr>
          <w:ilvl w:val="0"/>
          <w:numId w:val="2"/>
        </w:numPr>
        <w:tabs>
          <w:tab w:val="clear" w:pos="810"/>
          <w:tab w:val="num" w:pos="709"/>
        </w:tabs>
        <w:spacing w:before="100" w:after="100"/>
        <w:ind w:left="709" w:right="1" w:hanging="425"/>
        <w:outlineLvl w:val="0"/>
        <w:rPr>
          <w:b/>
        </w:rPr>
      </w:pPr>
      <w:r w:rsidRPr="00014AD5">
        <w:rPr>
          <w:rStyle w:val="Strong"/>
          <w:rFonts w:ascii="Times New Roman" w:hAnsi="Times New Roman"/>
          <w:sz w:val="22"/>
          <w:szCs w:val="22"/>
        </w:rPr>
        <w:t>How to obtain the tender dossier</w:t>
      </w:r>
    </w:p>
    <w:p w14:paraId="31DB7577" w14:textId="3F33F8D8" w:rsidR="00D450A0" w:rsidRPr="00014AD5" w:rsidRDefault="00D450A0" w:rsidP="00D450A0">
      <w:pPr>
        <w:pStyle w:val="Blockquote"/>
        <w:ind w:left="709" w:right="1"/>
        <w:jc w:val="both"/>
        <w:rPr>
          <w:rFonts w:ascii="Times New Roman" w:hAnsi="Times New Roman"/>
          <w:sz w:val="22"/>
          <w:szCs w:val="22"/>
          <w:lang w:val="en-GB"/>
        </w:rPr>
      </w:pPr>
      <w:r w:rsidRPr="00014AD5">
        <w:rPr>
          <w:rFonts w:ascii="Times New Roman" w:hAnsi="Times New Roman"/>
          <w:sz w:val="22"/>
          <w:szCs w:val="22"/>
          <w:lang w:val="en-GB"/>
        </w:rPr>
        <w:t xml:space="preserve">The tender dossier is available from the following Internet address: </w:t>
      </w:r>
      <w:r w:rsidR="007F6F4E">
        <w:rPr>
          <w:rFonts w:ascii="Times New Roman" w:hAnsi="Times New Roman"/>
          <w:sz w:val="22"/>
          <w:szCs w:val="22"/>
          <w:lang w:val="en-GB"/>
        </w:rPr>
        <w:t xml:space="preserve">website of </w:t>
      </w:r>
      <w:hyperlink r:id="rId7" w:history="1">
        <w:r w:rsidR="007F6F4E" w:rsidRPr="007F6F4E">
          <w:rPr>
            <w:rFonts w:ascii="Times New Roman" w:hAnsi="Times New Roman"/>
            <w:sz w:val="22"/>
            <w:szCs w:val="22"/>
          </w:rPr>
          <w:t>MAAIF</w:t>
        </w:r>
      </w:hyperlink>
      <w:r w:rsidRPr="00014AD5">
        <w:rPr>
          <w:rFonts w:ascii="Times New Roman" w:hAnsi="Times New Roman"/>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14:paraId="4B3615C5" w14:textId="40B6E7E1" w:rsidR="00D450A0" w:rsidRPr="00014AD5" w:rsidRDefault="00D450A0" w:rsidP="00D450A0">
      <w:pPr>
        <w:ind w:left="709" w:right="1"/>
        <w:jc w:val="both"/>
        <w:rPr>
          <w:rFonts w:ascii="Times New Roman" w:hAnsi="Times New Roman"/>
          <w:sz w:val="22"/>
          <w:szCs w:val="22"/>
        </w:rPr>
      </w:pPr>
      <w:r w:rsidRPr="00014AD5">
        <w:rPr>
          <w:rFonts w:ascii="Times New Roman" w:hAnsi="Times New Roman"/>
          <w:sz w:val="22"/>
          <w:szCs w:val="22"/>
        </w:rPr>
        <w:t>Tenderers with questions regarding this tender should send them in writing to (mentioning the publication reference shown in item 1)</w:t>
      </w:r>
      <w:r w:rsidR="007F6F4E">
        <w:rPr>
          <w:rFonts w:ascii="Times New Roman" w:hAnsi="Times New Roman"/>
          <w:sz w:val="22"/>
          <w:szCs w:val="22"/>
        </w:rPr>
        <w:t xml:space="preserve"> to: </w:t>
      </w:r>
      <w:hyperlink r:id="rId8" w:history="1">
        <w:r w:rsidR="007F6F4E" w:rsidRPr="00EE764F">
          <w:rPr>
            <w:rStyle w:val="Hyperlink"/>
            <w:rFonts w:ascii="Times New Roman" w:hAnsi="Times New Roman"/>
            <w:sz w:val="22"/>
            <w:szCs w:val="22"/>
          </w:rPr>
          <w:t>ps@agriculture.co.ug</w:t>
        </w:r>
      </w:hyperlink>
      <w:r w:rsidR="007F6F4E">
        <w:rPr>
          <w:rFonts w:ascii="Times New Roman" w:hAnsi="Times New Roman"/>
          <w:sz w:val="22"/>
          <w:szCs w:val="22"/>
        </w:rPr>
        <w:t xml:space="preserve"> with copy to </w:t>
      </w:r>
      <w:hyperlink r:id="rId9" w:history="1">
        <w:r w:rsidR="007F6F4E" w:rsidRPr="00EE764F">
          <w:rPr>
            <w:rStyle w:val="Hyperlink"/>
            <w:rFonts w:ascii="Times New Roman" w:hAnsi="Times New Roman"/>
            <w:sz w:val="22"/>
            <w:szCs w:val="22"/>
          </w:rPr>
          <w:t>mbabbazimaryconcept@gmail.com</w:t>
        </w:r>
      </w:hyperlink>
      <w:r w:rsidR="007F6F4E">
        <w:rPr>
          <w:rFonts w:ascii="Times New Roman" w:hAnsi="Times New Roman"/>
          <w:sz w:val="22"/>
          <w:szCs w:val="22"/>
        </w:rPr>
        <w:t>, noting the publication reference shown in item 1 and</w:t>
      </w:r>
      <w:r w:rsidRPr="00014AD5">
        <w:rPr>
          <w:rFonts w:ascii="Times New Roman" w:hAnsi="Times New Roman"/>
          <w:sz w:val="22"/>
          <w:szCs w:val="22"/>
        </w:rPr>
        <w:t xml:space="preserve"> at least 21 days before the deadline for submission of tenders given in item 19. The Contracting Authority must reply to all tenderers' questions at least 11 days before the deadline for submission of tenders. Eventual clarifications or minor changes to the tender dossier shall be published at the latest 11 days before the submission deadline on the </w:t>
      </w:r>
      <w:r w:rsidR="007F6F4E">
        <w:rPr>
          <w:rFonts w:ascii="Times New Roman" w:hAnsi="Times New Roman"/>
          <w:sz w:val="22"/>
          <w:szCs w:val="22"/>
        </w:rPr>
        <w:t>MAAIF Website.</w:t>
      </w:r>
    </w:p>
    <w:p w14:paraId="74EE019A" w14:textId="77777777" w:rsidR="00D450A0" w:rsidRPr="00014AD5" w:rsidRDefault="00D450A0" w:rsidP="00D450A0">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14AD5">
        <w:rPr>
          <w:rStyle w:val="Strong"/>
          <w:rFonts w:ascii="Times New Roman" w:hAnsi="Times New Roman"/>
          <w:sz w:val="22"/>
          <w:szCs w:val="22"/>
        </w:rPr>
        <w:t>Deadline for submission of tenders</w:t>
      </w:r>
    </w:p>
    <w:p w14:paraId="69C06562" w14:textId="77777777" w:rsidR="00D450A0" w:rsidRPr="00D22FC5" w:rsidRDefault="00D450A0" w:rsidP="00D450A0">
      <w:pPr>
        <w:pStyle w:val="Blockquote"/>
        <w:ind w:left="644" w:right="26"/>
        <w:jc w:val="both"/>
        <w:rPr>
          <w:rStyle w:val="Emphasis"/>
          <w:rFonts w:ascii="Times New Roman" w:hAnsi="Times New Roman"/>
          <w:i w:val="0"/>
          <w:iCs/>
          <w:sz w:val="22"/>
          <w:szCs w:val="22"/>
          <w:lang w:val="en-GB"/>
        </w:rPr>
      </w:pPr>
      <w:r w:rsidRPr="00D22FC5">
        <w:rPr>
          <w:rStyle w:val="Emphasis"/>
          <w:rFonts w:ascii="Times New Roman" w:hAnsi="Times New Roman"/>
          <w:i w:val="0"/>
          <w:iCs/>
          <w:sz w:val="22"/>
          <w:szCs w:val="22"/>
          <w:lang w:val="en-GB"/>
        </w:rPr>
        <w:t>The candidate/tenderer's attention is drawn to the fact that there are two different systems for sending applications/tenders, either by post or private mail service, or by hand delivery.</w:t>
      </w:r>
    </w:p>
    <w:p w14:paraId="14FE44EF" w14:textId="77777777" w:rsidR="00D450A0" w:rsidRPr="00D22FC5" w:rsidRDefault="00D450A0" w:rsidP="00D450A0">
      <w:pPr>
        <w:pStyle w:val="Blockquote"/>
        <w:ind w:left="644" w:right="1"/>
        <w:jc w:val="both"/>
        <w:rPr>
          <w:rStyle w:val="Emphasis"/>
          <w:rFonts w:ascii="Times New Roman" w:hAnsi="Times New Roman"/>
          <w:i w:val="0"/>
          <w:iCs/>
          <w:sz w:val="22"/>
          <w:szCs w:val="22"/>
          <w:lang w:val="en-GB"/>
        </w:rPr>
      </w:pPr>
      <w:r w:rsidRPr="00D22FC5">
        <w:rPr>
          <w:rStyle w:val="Emphasis"/>
          <w:rFonts w:ascii="Times New Roman" w:hAnsi="Times New Roman"/>
          <w:i w:val="0"/>
          <w:iCs/>
          <w:sz w:val="22"/>
          <w:szCs w:val="22"/>
          <w:lang w:val="en-GB"/>
        </w:rPr>
        <w:t>In the first case, the application/tender must be sent before the date and time limit for submission, as evidenced by the postmark or deposit slip</w:t>
      </w:r>
      <w:r w:rsidRPr="00D22FC5">
        <w:rPr>
          <w:rStyle w:val="FootnoteReference"/>
          <w:rFonts w:ascii="Times New Roman" w:hAnsi="Times New Roman"/>
          <w:i/>
          <w:iCs/>
          <w:sz w:val="22"/>
          <w:szCs w:val="22"/>
        </w:rPr>
        <w:footnoteReference w:id="1"/>
      </w:r>
      <w:r w:rsidRPr="00D22FC5">
        <w:rPr>
          <w:rStyle w:val="Emphasis"/>
          <w:rFonts w:ascii="Times New Roman" w:hAnsi="Times New Roman"/>
          <w:i w:val="0"/>
          <w:iCs/>
          <w:sz w:val="22"/>
          <w:szCs w:val="22"/>
          <w:lang w:val="en-GB"/>
        </w:rPr>
        <w:t>, but in the second case it is the acknowledgment of receipt given at the time of the delivery of the application/tender which will serve as proof.</w:t>
      </w:r>
    </w:p>
    <w:p w14:paraId="79A7409D" w14:textId="77777777" w:rsidR="00D450A0" w:rsidRPr="00014AD5" w:rsidRDefault="00D450A0" w:rsidP="00D450A0">
      <w:pPr>
        <w:pStyle w:val="Blockquote"/>
        <w:ind w:left="709" w:right="1"/>
        <w:jc w:val="both"/>
        <w:rPr>
          <w:rStyle w:val="Emphasis"/>
          <w:rFonts w:ascii="Times New Roman" w:hAnsi="Times New Roman"/>
          <w:i w:val="0"/>
          <w:sz w:val="22"/>
          <w:szCs w:val="22"/>
          <w:lang w:val="en-GB"/>
        </w:rPr>
      </w:pPr>
    </w:p>
    <w:p w14:paraId="2066C54B" w14:textId="38F12F29" w:rsidR="00D450A0" w:rsidRPr="00D22FC5" w:rsidRDefault="00812B15" w:rsidP="00D450A0">
      <w:pPr>
        <w:pStyle w:val="Blockquote"/>
        <w:ind w:left="709" w:right="1"/>
        <w:jc w:val="both"/>
        <w:rPr>
          <w:rStyle w:val="Emphasis"/>
          <w:rFonts w:ascii="Times New Roman" w:hAnsi="Times New Roman"/>
          <w:i w:val="0"/>
          <w:iCs/>
          <w:sz w:val="22"/>
          <w:szCs w:val="22"/>
          <w:lang w:val="en-GB"/>
        </w:rPr>
      </w:pPr>
      <w:r w:rsidRPr="006E2378">
        <w:rPr>
          <w:rStyle w:val="Emphasis"/>
          <w:rFonts w:ascii="Times New Roman" w:hAnsi="Times New Roman"/>
          <w:i w:val="0"/>
          <w:iCs/>
          <w:sz w:val="22"/>
          <w:szCs w:val="22"/>
          <w:lang w:val="en-GB"/>
        </w:rPr>
        <w:t>The deadline for submission of tenders will be followed by a public opening session on 13</w:t>
      </w:r>
      <w:r w:rsidRPr="006E2378">
        <w:rPr>
          <w:rStyle w:val="Emphasis"/>
          <w:rFonts w:ascii="Times New Roman" w:hAnsi="Times New Roman"/>
          <w:i w:val="0"/>
          <w:iCs/>
          <w:sz w:val="22"/>
          <w:szCs w:val="22"/>
          <w:vertAlign w:val="superscript"/>
          <w:lang w:val="en-GB"/>
        </w:rPr>
        <w:t>th</w:t>
      </w:r>
      <w:r w:rsidRPr="006E2378">
        <w:rPr>
          <w:rStyle w:val="Emphasis"/>
          <w:rFonts w:ascii="Times New Roman" w:hAnsi="Times New Roman"/>
          <w:i w:val="0"/>
          <w:iCs/>
          <w:sz w:val="22"/>
          <w:szCs w:val="22"/>
          <w:lang w:val="en-GB"/>
        </w:rPr>
        <w:t xml:space="preserve"> September 2019 (submission) and 16</w:t>
      </w:r>
      <w:r w:rsidRPr="006E2378">
        <w:rPr>
          <w:rStyle w:val="Emphasis"/>
          <w:rFonts w:ascii="Times New Roman" w:hAnsi="Times New Roman"/>
          <w:i w:val="0"/>
          <w:iCs/>
          <w:sz w:val="22"/>
          <w:szCs w:val="22"/>
          <w:vertAlign w:val="superscript"/>
          <w:lang w:val="en-GB"/>
        </w:rPr>
        <w:t>th</w:t>
      </w:r>
      <w:r w:rsidRPr="006E2378">
        <w:rPr>
          <w:rStyle w:val="Emphasis"/>
          <w:rFonts w:ascii="Times New Roman" w:hAnsi="Times New Roman"/>
          <w:i w:val="0"/>
          <w:iCs/>
          <w:sz w:val="22"/>
          <w:szCs w:val="22"/>
          <w:lang w:val="en-GB"/>
        </w:rPr>
        <w:t xml:space="preserve"> September 2019 (Opening), both at</w:t>
      </w:r>
      <w:r w:rsidRPr="006E2378">
        <w:rPr>
          <w:rFonts w:ascii="Times New Roman" w:hAnsi="Times New Roman"/>
          <w:sz w:val="22"/>
          <w:szCs w:val="22"/>
        </w:rPr>
        <w:t xml:space="preserve"> 12.00hrs</w:t>
      </w:r>
    </w:p>
    <w:p w14:paraId="21AB8446" w14:textId="77777777" w:rsidR="00D450A0" w:rsidRPr="00014AD5" w:rsidRDefault="00D450A0" w:rsidP="00D450A0">
      <w:pPr>
        <w:pStyle w:val="Blockquote"/>
        <w:ind w:left="709" w:right="1"/>
        <w:jc w:val="both"/>
        <w:rPr>
          <w:rFonts w:ascii="Times New Roman" w:hAnsi="Times New Roman"/>
          <w:sz w:val="22"/>
          <w:szCs w:val="22"/>
          <w:lang w:val="en-GB"/>
        </w:rPr>
      </w:pPr>
      <w:r w:rsidRPr="00014AD5">
        <w:rPr>
          <w:rFonts w:ascii="Times New Roman" w:hAnsi="Times New Roman"/>
          <w:sz w:val="22"/>
          <w:szCs w:val="22"/>
          <w:lang w:val="en-GB"/>
        </w:rPr>
        <w:t>Any tender received by the Contracting Authority after this deadline will not be considered.</w:t>
      </w:r>
    </w:p>
    <w:p w14:paraId="4BFE237B" w14:textId="77777777" w:rsidR="00D450A0" w:rsidRPr="00014AD5" w:rsidRDefault="00D450A0" w:rsidP="00D450A0">
      <w:pPr>
        <w:pStyle w:val="Blockquote"/>
        <w:ind w:left="709" w:right="26"/>
        <w:jc w:val="both"/>
        <w:rPr>
          <w:rFonts w:ascii="Times New Roman" w:hAnsi="Times New Roman"/>
          <w:b/>
          <w:sz w:val="22"/>
          <w:szCs w:val="22"/>
          <w:lang w:val="en-GB"/>
        </w:rPr>
      </w:pPr>
      <w:r w:rsidRPr="00014AD5">
        <w:rPr>
          <w:rFonts w:ascii="Times New Roman" w:hAnsi="Times New Roman"/>
          <w:b/>
          <w:sz w:val="22"/>
          <w:szCs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14:paraId="6FA40C68" w14:textId="77777777" w:rsidR="00D450A0" w:rsidRPr="00014AD5" w:rsidRDefault="00D450A0" w:rsidP="00D450A0">
      <w:pPr>
        <w:ind w:left="709" w:right="26" w:hanging="349"/>
        <w:outlineLvl w:val="0"/>
        <w:rPr>
          <w:rFonts w:ascii="Times New Roman" w:hAnsi="Times New Roman"/>
          <w:sz w:val="22"/>
          <w:szCs w:val="22"/>
        </w:rPr>
      </w:pPr>
      <w:r w:rsidRPr="00014AD5">
        <w:rPr>
          <w:rStyle w:val="Strong"/>
          <w:rFonts w:ascii="Times New Roman" w:hAnsi="Times New Roman"/>
          <w:sz w:val="22"/>
          <w:szCs w:val="22"/>
        </w:rPr>
        <w:tab/>
        <w:t>How tenders may be submitted</w:t>
      </w:r>
    </w:p>
    <w:p w14:paraId="037CF31D" w14:textId="77777777" w:rsidR="00D450A0" w:rsidRPr="00014AD5" w:rsidRDefault="00D450A0" w:rsidP="00D450A0">
      <w:pPr>
        <w:pStyle w:val="Blockquote"/>
        <w:ind w:left="709" w:right="26"/>
        <w:jc w:val="both"/>
        <w:rPr>
          <w:rFonts w:ascii="Times New Roman" w:hAnsi="Times New Roman"/>
          <w:sz w:val="22"/>
          <w:szCs w:val="22"/>
          <w:lang w:val="en-GB"/>
        </w:rPr>
      </w:pPr>
      <w:r w:rsidRPr="00014AD5">
        <w:rPr>
          <w:rFonts w:ascii="Times New Roman" w:hAnsi="Times New Roman"/>
          <w:sz w:val="22"/>
          <w:szCs w:val="22"/>
          <w:lang w:val="en-GB"/>
        </w:rPr>
        <w:t>Tenders must be submitted in English exclusively to the contracting authority in a sealed envelope:</w:t>
      </w:r>
    </w:p>
    <w:p w14:paraId="6B87406D" w14:textId="5179A84F" w:rsidR="00D450A0" w:rsidRPr="00014AD5" w:rsidRDefault="00D450A0" w:rsidP="00D450A0">
      <w:pPr>
        <w:widowControl w:val="0"/>
        <w:numPr>
          <w:ilvl w:val="0"/>
          <w:numId w:val="3"/>
        </w:numPr>
        <w:spacing w:before="100" w:after="100"/>
        <w:ind w:right="26"/>
        <w:jc w:val="both"/>
        <w:rPr>
          <w:rFonts w:ascii="Times New Roman" w:hAnsi="Times New Roman"/>
          <w:sz w:val="22"/>
          <w:szCs w:val="22"/>
        </w:rPr>
      </w:pPr>
      <w:r w:rsidRPr="00014AD5">
        <w:rPr>
          <w:rFonts w:ascii="Times New Roman" w:hAnsi="Times New Roman"/>
          <w:sz w:val="22"/>
          <w:szCs w:val="22"/>
        </w:rPr>
        <w:t>EITHER by post or by courier service, in which case the evidence shall be constituted by the postmark or the date of the deposit slip, to:</w:t>
      </w:r>
    </w:p>
    <w:p w14:paraId="0F6796E2" w14:textId="77777777" w:rsidR="00D22FC5" w:rsidRPr="00D22FC5" w:rsidRDefault="00D22FC5" w:rsidP="00D22FC5">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t>The Permanent Secretary.</w:t>
      </w:r>
    </w:p>
    <w:p w14:paraId="14140A43" w14:textId="77777777" w:rsidR="00D22FC5" w:rsidRPr="00D22FC5" w:rsidRDefault="00D22FC5" w:rsidP="00D22FC5">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t>Ministry of Agriculture, Animal Industry and Fisheries (MAAIF),</w:t>
      </w:r>
    </w:p>
    <w:p w14:paraId="5FDA5B9E" w14:textId="77777777" w:rsidR="00D22FC5" w:rsidRPr="00D22FC5" w:rsidRDefault="00D22FC5" w:rsidP="00D22FC5">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t>PO Box 102, Entebbe</w:t>
      </w:r>
    </w:p>
    <w:p w14:paraId="56F9ADD7" w14:textId="77777777" w:rsidR="00D22FC5" w:rsidRPr="00D22FC5" w:rsidRDefault="00D22FC5" w:rsidP="00D22FC5">
      <w:pPr>
        <w:ind w:left="720"/>
        <w:rPr>
          <w:rFonts w:ascii="Times New Roman" w:hAnsi="Times New Roman"/>
          <w:b/>
          <w:snapToGrid/>
          <w:sz w:val="22"/>
          <w:szCs w:val="22"/>
          <w:lang w:eastAsia="en-GB"/>
        </w:rPr>
      </w:pPr>
      <w:r w:rsidRPr="00D22FC5">
        <w:rPr>
          <w:rFonts w:ascii="Times New Roman" w:hAnsi="Times New Roman"/>
          <w:b/>
          <w:snapToGrid/>
          <w:sz w:val="22"/>
          <w:szCs w:val="22"/>
          <w:lang w:eastAsia="en-GB"/>
        </w:rPr>
        <w:lastRenderedPageBreak/>
        <w:t>Plot 16-18, Lugard Avenue, Entebbe, Uganda</w:t>
      </w:r>
    </w:p>
    <w:p w14:paraId="438EEB18" w14:textId="77777777" w:rsidR="00D22FC5" w:rsidRPr="00D22FC5" w:rsidRDefault="00D22FC5" w:rsidP="00D22FC5">
      <w:pPr>
        <w:ind w:left="720"/>
        <w:rPr>
          <w:rFonts w:ascii="Times New Roman" w:hAnsi="Times New Roman"/>
          <w:b/>
          <w:snapToGrid/>
          <w:sz w:val="22"/>
          <w:szCs w:val="22"/>
          <w:lang w:eastAsia="en-GB"/>
        </w:rPr>
      </w:pPr>
    </w:p>
    <w:p w14:paraId="76D1796A" w14:textId="5CDDD753" w:rsidR="00D450A0" w:rsidRPr="00014AD5" w:rsidRDefault="00D22FC5" w:rsidP="00D22FC5">
      <w:pPr>
        <w:pStyle w:val="Blockquote"/>
        <w:ind w:left="720" w:right="26"/>
        <w:rPr>
          <w:rFonts w:ascii="Times New Roman" w:hAnsi="Times New Roman"/>
          <w:sz w:val="22"/>
          <w:szCs w:val="22"/>
          <w:highlight w:val="yellow"/>
          <w:lang w:val="en-GB"/>
        </w:rPr>
      </w:pPr>
      <w:r w:rsidRPr="00D22FC5">
        <w:rPr>
          <w:rFonts w:ascii="Times New Roman" w:eastAsia="Calibri" w:hAnsi="Times New Roman"/>
          <w:b/>
          <w:snapToGrid/>
          <w:sz w:val="22"/>
          <w:szCs w:val="22"/>
        </w:rPr>
        <w:t>Attention to Dr Mary Mbabazi, National Project Coordinator</w:t>
      </w:r>
      <w:r w:rsidR="00D450A0" w:rsidRPr="00014AD5">
        <w:rPr>
          <w:rStyle w:val="Emphasis"/>
          <w:rFonts w:ascii="Times New Roman" w:hAnsi="Times New Roman"/>
          <w:sz w:val="22"/>
          <w:szCs w:val="22"/>
          <w:lang w:val="en-GB"/>
        </w:rPr>
        <w:br/>
      </w:r>
    </w:p>
    <w:p w14:paraId="5D2BD264" w14:textId="77777777" w:rsidR="00D450A0" w:rsidRPr="00014AD5" w:rsidRDefault="00D450A0" w:rsidP="00D450A0">
      <w:pPr>
        <w:widowControl w:val="0"/>
        <w:numPr>
          <w:ilvl w:val="0"/>
          <w:numId w:val="3"/>
        </w:numPr>
        <w:spacing w:before="100" w:after="100"/>
        <w:ind w:right="26"/>
        <w:jc w:val="both"/>
        <w:rPr>
          <w:rFonts w:ascii="Times New Roman" w:hAnsi="Times New Roman"/>
          <w:sz w:val="22"/>
          <w:szCs w:val="22"/>
        </w:rPr>
      </w:pPr>
      <w:r w:rsidRPr="00014AD5">
        <w:rPr>
          <w:rFonts w:ascii="Times New Roman" w:hAnsi="Times New Roman"/>
          <w:sz w:val="22"/>
          <w:szCs w:val="22"/>
        </w:rPr>
        <w:t xml:space="preserve">OR </w:t>
      </w:r>
      <w:r w:rsidRPr="00014AD5">
        <w:rPr>
          <w:rStyle w:val="Strong"/>
          <w:rFonts w:ascii="Times New Roman" w:hAnsi="Times New Roman"/>
          <w:b w:val="0"/>
          <w:sz w:val="22"/>
          <w:szCs w:val="22"/>
        </w:rPr>
        <w:t>hand delivere</w:t>
      </w:r>
      <w:r w:rsidRPr="00014AD5">
        <w:rPr>
          <w:rFonts w:ascii="Times New Roman" w:hAnsi="Times New Roman"/>
          <w:sz w:val="22"/>
          <w:szCs w:val="22"/>
        </w:rPr>
        <w:t>d by the participant in person or by an agent</w:t>
      </w:r>
      <w:r w:rsidRPr="00014AD5">
        <w:rPr>
          <w:rStyle w:val="Strong"/>
          <w:rFonts w:ascii="Times New Roman" w:hAnsi="Times New Roman"/>
          <w:b w:val="0"/>
          <w:sz w:val="22"/>
          <w:szCs w:val="22"/>
        </w:rPr>
        <w:t xml:space="preserve"> directly</w:t>
      </w:r>
      <w:r w:rsidRPr="00014AD5">
        <w:rPr>
          <w:rFonts w:ascii="Times New Roman" w:hAnsi="Times New Roman"/>
          <w:sz w:val="22"/>
          <w:szCs w:val="22"/>
        </w:rPr>
        <w:t xml:space="preserve"> to the premises of the contracting authority in return for a </w:t>
      </w:r>
      <w:r w:rsidRPr="00014AD5">
        <w:rPr>
          <w:rStyle w:val="Strong"/>
          <w:rFonts w:ascii="Times New Roman" w:hAnsi="Times New Roman"/>
          <w:b w:val="0"/>
          <w:sz w:val="22"/>
          <w:szCs w:val="22"/>
        </w:rPr>
        <w:t>signed and dated receipt</w:t>
      </w:r>
      <w:r w:rsidRPr="00014AD5">
        <w:rPr>
          <w:rFonts w:ascii="Times New Roman" w:hAnsi="Times New Roman"/>
          <w:sz w:val="22"/>
          <w:szCs w:val="22"/>
        </w:rPr>
        <w:t>, in which case the evidence shall be constituted by this acknowledgement of receipt, to:</w:t>
      </w:r>
    </w:p>
    <w:p w14:paraId="1BF3846F" w14:textId="77777777" w:rsidR="00D22FC5" w:rsidRPr="00D22FC5" w:rsidRDefault="00D22FC5" w:rsidP="00D22FC5">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The Permanent Secretary.</w:t>
      </w:r>
    </w:p>
    <w:p w14:paraId="682C6166" w14:textId="77777777" w:rsidR="00D22FC5" w:rsidRPr="00D22FC5" w:rsidRDefault="00D22FC5" w:rsidP="00D22FC5">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Ministry of Agriculture, Animal Industry and Fisheries (MAAIF),</w:t>
      </w:r>
    </w:p>
    <w:p w14:paraId="09A18669" w14:textId="77777777" w:rsidR="00D22FC5" w:rsidRPr="00D22FC5" w:rsidRDefault="00D22FC5" w:rsidP="00D22FC5">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PO Box 102, Entebbe</w:t>
      </w:r>
    </w:p>
    <w:p w14:paraId="14AE2365" w14:textId="77777777" w:rsidR="00D22FC5" w:rsidRPr="00D22FC5" w:rsidRDefault="00D22FC5" w:rsidP="00D22FC5">
      <w:pPr>
        <w:pStyle w:val="Blockquote"/>
        <w:spacing w:before="0" w:after="0"/>
        <w:ind w:left="720" w:right="26"/>
        <w:rPr>
          <w:rFonts w:ascii="Times New Roman" w:hAnsi="Times New Roman"/>
          <w:b/>
          <w:sz w:val="22"/>
          <w:szCs w:val="22"/>
          <w:lang w:val="en-GB"/>
        </w:rPr>
      </w:pPr>
      <w:r w:rsidRPr="00D22FC5">
        <w:rPr>
          <w:rFonts w:ascii="Times New Roman" w:hAnsi="Times New Roman"/>
          <w:b/>
          <w:sz w:val="22"/>
          <w:szCs w:val="22"/>
          <w:lang w:val="en-GB"/>
        </w:rPr>
        <w:t>Plot 16-18, Lugard Avenue, Entebbe, Uganda</w:t>
      </w:r>
    </w:p>
    <w:p w14:paraId="77908479" w14:textId="77777777" w:rsidR="00D22FC5" w:rsidRPr="00D22FC5" w:rsidRDefault="00D22FC5" w:rsidP="00D22FC5">
      <w:pPr>
        <w:pStyle w:val="Blockquote"/>
        <w:spacing w:before="0" w:after="0"/>
        <w:ind w:left="720" w:right="26"/>
        <w:rPr>
          <w:rFonts w:ascii="Times New Roman" w:hAnsi="Times New Roman"/>
          <w:b/>
          <w:sz w:val="22"/>
          <w:szCs w:val="22"/>
          <w:lang w:val="en-GB"/>
        </w:rPr>
      </w:pPr>
    </w:p>
    <w:p w14:paraId="20B92779" w14:textId="2A7711FD" w:rsidR="00D22FC5" w:rsidRDefault="00D22FC5" w:rsidP="00D22FC5">
      <w:pPr>
        <w:pStyle w:val="Blockquote"/>
        <w:spacing w:before="0" w:after="0"/>
        <w:ind w:left="720" w:right="26"/>
        <w:rPr>
          <w:rFonts w:ascii="Times New Roman" w:hAnsi="Times New Roman"/>
          <w:b/>
          <w:bCs/>
          <w:snapToGrid/>
          <w:sz w:val="22"/>
          <w:szCs w:val="22"/>
          <w:lang w:eastAsia="en-GB"/>
        </w:rPr>
      </w:pPr>
      <w:r w:rsidRPr="00D22FC5">
        <w:rPr>
          <w:rFonts w:ascii="Times New Roman" w:hAnsi="Times New Roman"/>
          <w:b/>
          <w:bCs/>
          <w:snapToGrid/>
          <w:sz w:val="22"/>
          <w:szCs w:val="22"/>
          <w:lang w:eastAsia="en-GB"/>
        </w:rPr>
        <w:t>Main Office Building, Former Library Premises</w:t>
      </w:r>
    </w:p>
    <w:p w14:paraId="34F9DCE5" w14:textId="77777777" w:rsidR="00D22FC5" w:rsidRPr="00D22FC5" w:rsidRDefault="00D22FC5" w:rsidP="00D22FC5">
      <w:pPr>
        <w:pStyle w:val="Blockquote"/>
        <w:spacing w:before="0" w:after="0"/>
        <w:ind w:left="720" w:right="26"/>
        <w:rPr>
          <w:rFonts w:ascii="Times New Roman" w:hAnsi="Times New Roman"/>
          <w:b/>
          <w:sz w:val="22"/>
          <w:szCs w:val="22"/>
          <w:lang w:val="en-GB"/>
        </w:rPr>
      </w:pPr>
    </w:p>
    <w:p w14:paraId="04B1F8A8" w14:textId="30F7B8BE" w:rsidR="00D22FC5" w:rsidRPr="00D22FC5" w:rsidRDefault="00D22FC5" w:rsidP="00D22FC5">
      <w:pPr>
        <w:pStyle w:val="Blockquote"/>
        <w:spacing w:before="0" w:after="0"/>
        <w:ind w:left="720" w:right="26"/>
        <w:rPr>
          <w:rFonts w:ascii="Times New Roman" w:eastAsia="Calibri" w:hAnsi="Times New Roman"/>
          <w:b/>
          <w:snapToGrid/>
          <w:sz w:val="22"/>
          <w:szCs w:val="22"/>
        </w:rPr>
      </w:pPr>
      <w:r w:rsidRPr="00D22FC5">
        <w:rPr>
          <w:rFonts w:ascii="Times New Roman" w:eastAsia="Calibri" w:hAnsi="Times New Roman"/>
          <w:b/>
          <w:snapToGrid/>
          <w:sz w:val="22"/>
          <w:szCs w:val="22"/>
        </w:rPr>
        <w:t>Attention to Dr Mary Mbabazi, National Project Coordinator</w:t>
      </w:r>
    </w:p>
    <w:p w14:paraId="6013A8D3" w14:textId="709C09B1" w:rsidR="00D450A0" w:rsidRPr="00014AD5" w:rsidRDefault="00D22FC5" w:rsidP="00D22FC5">
      <w:pPr>
        <w:pStyle w:val="Blockquote"/>
        <w:ind w:left="720" w:right="26"/>
        <w:rPr>
          <w:rFonts w:ascii="Times New Roman" w:hAnsi="Times New Roman"/>
          <w:sz w:val="22"/>
          <w:szCs w:val="22"/>
          <w:highlight w:val="yellow"/>
          <w:lang w:val="en-GB"/>
        </w:rPr>
      </w:pPr>
      <w:r w:rsidRPr="00D22FC5">
        <w:rPr>
          <w:rFonts w:ascii="Times New Roman" w:hAnsi="Times New Roman"/>
          <w:b/>
          <w:sz w:val="22"/>
          <w:szCs w:val="22"/>
        </w:rPr>
        <w:t>Note.</w:t>
      </w:r>
      <w:r w:rsidRPr="00D22FC5">
        <w:rPr>
          <w:rFonts w:ascii="Times New Roman" w:hAnsi="Times New Roman"/>
          <w:sz w:val="22"/>
          <w:szCs w:val="22"/>
        </w:rPr>
        <w:t xml:space="preserve"> Opening hours: Monday to Friday – 09.00 to 17.00hrs (Ugandan Time), closed on   public holidays</w:t>
      </w:r>
      <w:r w:rsidR="00D450A0" w:rsidRPr="00014AD5">
        <w:rPr>
          <w:rStyle w:val="Emphasis"/>
          <w:rFonts w:ascii="Times New Roman" w:hAnsi="Times New Roman"/>
          <w:sz w:val="22"/>
          <w:szCs w:val="22"/>
          <w:lang w:val="en-GB"/>
        </w:rPr>
        <w:t xml:space="preserve"> </w:t>
      </w:r>
    </w:p>
    <w:p w14:paraId="6D4095EB" w14:textId="77777777" w:rsidR="00D450A0" w:rsidRPr="00014AD5" w:rsidRDefault="00D450A0" w:rsidP="00D450A0">
      <w:pPr>
        <w:pStyle w:val="Blockquote"/>
        <w:ind w:left="709" w:right="26"/>
        <w:jc w:val="both"/>
        <w:rPr>
          <w:rFonts w:ascii="Times New Roman" w:hAnsi="Times New Roman"/>
          <w:sz w:val="22"/>
          <w:szCs w:val="22"/>
          <w:lang w:val="en-GB"/>
        </w:rPr>
      </w:pPr>
      <w:r w:rsidRPr="00014AD5">
        <w:rPr>
          <w:rFonts w:ascii="Times New Roman" w:hAnsi="Times New Roman"/>
          <w:sz w:val="22"/>
          <w:szCs w:val="22"/>
          <w:lang w:val="en-GB"/>
        </w:rPr>
        <w:t xml:space="preserve">The </w:t>
      </w:r>
      <w:r w:rsidRPr="00014AD5">
        <w:rPr>
          <w:rStyle w:val="Strong"/>
          <w:rFonts w:ascii="Times New Roman" w:hAnsi="Times New Roman"/>
          <w:b w:val="0"/>
          <w:sz w:val="22"/>
          <w:szCs w:val="22"/>
          <w:lang w:val="en-GB"/>
        </w:rPr>
        <w:t>contract title</w:t>
      </w:r>
      <w:r w:rsidRPr="00014AD5">
        <w:rPr>
          <w:rFonts w:ascii="Times New Roman" w:hAnsi="Times New Roman"/>
          <w:sz w:val="22"/>
          <w:szCs w:val="22"/>
          <w:lang w:val="en-GB"/>
        </w:rPr>
        <w:t xml:space="preserve"> and the </w:t>
      </w:r>
      <w:r w:rsidRPr="00014AD5">
        <w:rPr>
          <w:rStyle w:val="Strong"/>
          <w:rFonts w:ascii="Times New Roman" w:hAnsi="Times New Roman"/>
          <w:b w:val="0"/>
          <w:sz w:val="22"/>
          <w:szCs w:val="22"/>
          <w:lang w:val="en-GB"/>
        </w:rPr>
        <w:t>Publication reference</w:t>
      </w:r>
      <w:r w:rsidRPr="00014AD5">
        <w:rPr>
          <w:rFonts w:ascii="Times New Roman" w:hAnsi="Times New Roman"/>
          <w:sz w:val="22"/>
          <w:szCs w:val="22"/>
          <w:lang w:val="en-GB"/>
        </w:rPr>
        <w:t xml:space="preserve"> (see item 1 above) must be clearly marked on the envelope containing the tender and must always be mentioned in all subsequent correspondence with the contracting authority.</w:t>
      </w:r>
    </w:p>
    <w:p w14:paraId="61C44E75" w14:textId="77777777" w:rsidR="00D450A0" w:rsidRPr="00014AD5" w:rsidRDefault="00D450A0" w:rsidP="00D450A0">
      <w:pPr>
        <w:pStyle w:val="Blockquote"/>
        <w:ind w:left="709" w:right="26"/>
        <w:jc w:val="both"/>
        <w:rPr>
          <w:rStyle w:val="Strong"/>
          <w:rFonts w:ascii="Times New Roman" w:hAnsi="Times New Roman"/>
          <w:b w:val="0"/>
          <w:sz w:val="22"/>
          <w:szCs w:val="22"/>
          <w:lang w:val="en-GB"/>
        </w:rPr>
      </w:pPr>
      <w:r w:rsidRPr="00014AD5">
        <w:rPr>
          <w:rStyle w:val="Strong"/>
          <w:rFonts w:ascii="Times New Roman" w:hAnsi="Times New Roman"/>
          <w:b w:val="0"/>
          <w:sz w:val="22"/>
          <w:szCs w:val="22"/>
          <w:lang w:val="en-GB"/>
        </w:rPr>
        <w:t>Tenders submitted by any other means will not be considered.</w:t>
      </w:r>
    </w:p>
    <w:p w14:paraId="4302C289" w14:textId="2D2CB699" w:rsidR="00D450A0" w:rsidRPr="00014AD5" w:rsidRDefault="00D450A0" w:rsidP="00D450A0">
      <w:pPr>
        <w:pStyle w:val="Blockquote"/>
        <w:ind w:left="709" w:right="1"/>
        <w:jc w:val="both"/>
        <w:rPr>
          <w:rFonts w:ascii="Times New Roman" w:hAnsi="Times New Roman"/>
          <w:sz w:val="22"/>
          <w:szCs w:val="22"/>
          <w:lang w:val="en-GB"/>
        </w:rPr>
      </w:pPr>
      <w:r w:rsidRPr="00014AD5">
        <w:rPr>
          <w:rFonts w:ascii="Times New Roman" w:hAnsi="Times New Roman"/>
          <w:sz w:val="22"/>
          <w:szCs w:val="22"/>
        </w:rPr>
        <w:t>By submitting a tender</w:t>
      </w:r>
      <w:r w:rsidR="00D22FC5">
        <w:rPr>
          <w:rFonts w:ascii="Times New Roman" w:hAnsi="Times New Roman"/>
          <w:sz w:val="22"/>
          <w:szCs w:val="22"/>
        </w:rPr>
        <w:t>,</w:t>
      </w:r>
      <w:r w:rsidRPr="00014AD5">
        <w:rPr>
          <w:rFonts w:ascii="Times New Roman" w:hAnsi="Times New Roman"/>
          <w:sz w:val="22"/>
          <w:szCs w:val="22"/>
        </w:rPr>
        <w:t xml:space="preserve"> candidates accept to receive notification of the outcome of the procedure by electronic means. Such notification shall be deemed to have been received on the date upon which the contracting authority sends it to the electronic address referred to in the tender.</w:t>
      </w:r>
    </w:p>
    <w:p w14:paraId="5BEDC80D" w14:textId="77777777" w:rsidR="00D450A0" w:rsidRPr="00014AD5" w:rsidRDefault="00D450A0" w:rsidP="00D450A0">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14AD5">
        <w:rPr>
          <w:rStyle w:val="Strong"/>
          <w:rFonts w:ascii="Times New Roman" w:hAnsi="Times New Roman"/>
          <w:sz w:val="22"/>
          <w:szCs w:val="22"/>
        </w:rPr>
        <w:t>Tender opening session</w:t>
      </w:r>
    </w:p>
    <w:p w14:paraId="323B1220" w14:textId="77777777" w:rsidR="00812B15" w:rsidRPr="00812B15" w:rsidRDefault="00812B15" w:rsidP="00812B15">
      <w:pPr>
        <w:pStyle w:val="ListParagraph"/>
        <w:ind w:left="810" w:right="1"/>
        <w:jc w:val="both"/>
        <w:outlineLvl w:val="0"/>
        <w:rPr>
          <w:rStyle w:val="Emphasis"/>
          <w:rFonts w:ascii="Times New Roman" w:hAnsi="Times New Roman"/>
          <w:i w:val="0"/>
        </w:rPr>
      </w:pPr>
      <w:r w:rsidRPr="00812B15">
        <w:rPr>
          <w:rFonts w:ascii="Times New Roman" w:hAnsi="Times New Roman"/>
        </w:rPr>
        <w:t>16</w:t>
      </w:r>
      <w:r w:rsidRPr="00812B15">
        <w:rPr>
          <w:rFonts w:ascii="Times New Roman" w:hAnsi="Times New Roman"/>
          <w:vertAlign w:val="superscript"/>
        </w:rPr>
        <w:t>th</w:t>
      </w:r>
      <w:r w:rsidRPr="00812B15">
        <w:rPr>
          <w:rFonts w:ascii="Times New Roman" w:hAnsi="Times New Roman"/>
        </w:rPr>
        <w:t xml:space="preserve"> September 2019 at 12.00hrs</w:t>
      </w:r>
      <w:r w:rsidRPr="00812B15">
        <w:rPr>
          <w:rStyle w:val="Emphasis"/>
          <w:rFonts w:ascii="Times New Roman" w:hAnsi="Times New Roman"/>
          <w:i w:val="0"/>
        </w:rPr>
        <w:t xml:space="preserve"> at:-</w:t>
      </w:r>
    </w:p>
    <w:p w14:paraId="165230E6" w14:textId="1F33249A" w:rsidR="00D450A0" w:rsidRPr="00812B15" w:rsidRDefault="00812B15" w:rsidP="00812B15">
      <w:pPr>
        <w:pStyle w:val="ListParagraph"/>
        <w:ind w:left="810" w:right="1"/>
        <w:jc w:val="both"/>
        <w:outlineLvl w:val="0"/>
        <w:rPr>
          <w:rStyle w:val="Emphasis"/>
          <w:rFonts w:ascii="Times New Roman" w:hAnsi="Times New Roman"/>
          <w:b/>
          <w:i w:val="0"/>
        </w:rPr>
      </w:pPr>
      <w:bookmarkStart w:id="0" w:name="_GoBack"/>
      <w:bookmarkEnd w:id="0"/>
      <w:r w:rsidRPr="00812B15">
        <w:rPr>
          <w:rStyle w:val="Emphasis"/>
          <w:rFonts w:ascii="Times New Roman" w:hAnsi="Times New Roman"/>
          <w:i w:val="0"/>
        </w:rPr>
        <w:t>MOBIP Office, Directorate of Animal Resources, MAAIF, Entebbe</w:t>
      </w:r>
    </w:p>
    <w:p w14:paraId="6A2AA0B9" w14:textId="77777777" w:rsidR="00D450A0" w:rsidRPr="00014AD5" w:rsidRDefault="00D450A0" w:rsidP="00D450A0">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14AD5">
        <w:rPr>
          <w:rStyle w:val="Strong"/>
          <w:rFonts w:ascii="Times New Roman" w:hAnsi="Times New Roman"/>
          <w:sz w:val="22"/>
          <w:szCs w:val="22"/>
        </w:rPr>
        <w:t>Language of the procedure</w:t>
      </w:r>
    </w:p>
    <w:p w14:paraId="0064C9C1" w14:textId="77777777" w:rsidR="00D450A0" w:rsidRPr="00D22FC5" w:rsidRDefault="00D450A0" w:rsidP="00D450A0">
      <w:pPr>
        <w:pStyle w:val="Blockquote"/>
        <w:ind w:left="709" w:right="1"/>
        <w:jc w:val="both"/>
        <w:rPr>
          <w:rFonts w:ascii="Times New Roman" w:hAnsi="Times New Roman"/>
          <w:i/>
          <w:iCs/>
          <w:sz w:val="22"/>
          <w:szCs w:val="22"/>
          <w:lang w:val="en-GB"/>
        </w:rPr>
      </w:pPr>
      <w:r w:rsidRPr="00D22FC5">
        <w:rPr>
          <w:rStyle w:val="Emphasis"/>
          <w:rFonts w:ascii="Times New Roman" w:hAnsi="Times New Roman"/>
          <w:i w:val="0"/>
          <w:iCs/>
          <w:sz w:val="22"/>
          <w:szCs w:val="22"/>
          <w:lang w:val="en-GB"/>
        </w:rPr>
        <w:t xml:space="preserve">All written communications for this tender procedure and contract must be in English. </w:t>
      </w:r>
    </w:p>
    <w:p w14:paraId="359C9DD9" w14:textId="77777777" w:rsidR="00D450A0" w:rsidRPr="00014AD5" w:rsidRDefault="00D450A0" w:rsidP="00D450A0">
      <w:pPr>
        <w:widowControl w:val="0"/>
        <w:numPr>
          <w:ilvl w:val="0"/>
          <w:numId w:val="2"/>
        </w:numPr>
        <w:tabs>
          <w:tab w:val="clear" w:pos="810"/>
          <w:tab w:val="num" w:pos="709"/>
        </w:tabs>
        <w:spacing w:before="100" w:after="100"/>
        <w:ind w:left="709" w:right="1" w:hanging="425"/>
        <w:jc w:val="both"/>
        <w:outlineLvl w:val="0"/>
        <w:rPr>
          <w:rStyle w:val="Strong"/>
          <w:rFonts w:ascii="Times New Roman" w:hAnsi="Times New Roman"/>
          <w:sz w:val="22"/>
          <w:szCs w:val="22"/>
        </w:rPr>
      </w:pPr>
      <w:r w:rsidRPr="00014AD5">
        <w:rPr>
          <w:rStyle w:val="Strong"/>
          <w:rFonts w:ascii="Times New Roman" w:hAnsi="Times New Roman"/>
          <w:sz w:val="22"/>
          <w:szCs w:val="22"/>
        </w:rPr>
        <w:t>Legal basis</w:t>
      </w:r>
      <w:r w:rsidRPr="00014AD5">
        <w:rPr>
          <w:rStyle w:val="FootnoteReference"/>
          <w:rFonts w:ascii="Times New Roman" w:hAnsi="Times New Roman"/>
          <w:b/>
          <w:sz w:val="22"/>
          <w:szCs w:val="22"/>
        </w:rPr>
        <w:footnoteReference w:id="2"/>
      </w:r>
    </w:p>
    <w:p w14:paraId="5460522B" w14:textId="2765E99E" w:rsidR="00D450A0" w:rsidRPr="00014AD5" w:rsidRDefault="00D450A0" w:rsidP="00D450A0">
      <w:pPr>
        <w:ind w:left="644" w:right="1"/>
        <w:jc w:val="both"/>
        <w:outlineLvl w:val="0"/>
        <w:rPr>
          <w:rFonts w:ascii="Times New Roman" w:hAnsi="Times New Roman"/>
          <w:sz w:val="22"/>
          <w:szCs w:val="22"/>
        </w:rPr>
      </w:pPr>
      <w:r w:rsidRPr="00014AD5">
        <w:rPr>
          <w:rFonts w:ascii="Times New Roman" w:hAnsi="Times New Roman"/>
          <w:sz w:val="22"/>
          <w:szCs w:val="22"/>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0E3D16AA" w14:textId="77777777" w:rsidR="00D450A0" w:rsidRPr="00014AD5" w:rsidRDefault="00D450A0" w:rsidP="00D450A0">
      <w:pPr>
        <w:widowControl w:val="0"/>
        <w:numPr>
          <w:ilvl w:val="0"/>
          <w:numId w:val="2"/>
        </w:numPr>
        <w:tabs>
          <w:tab w:val="clear" w:pos="810"/>
          <w:tab w:val="num" w:pos="709"/>
        </w:tabs>
        <w:spacing w:before="100" w:after="100"/>
        <w:ind w:left="709" w:right="1" w:hanging="425"/>
        <w:jc w:val="both"/>
        <w:outlineLvl w:val="0"/>
        <w:rPr>
          <w:rFonts w:ascii="Times New Roman" w:hAnsi="Times New Roman"/>
          <w:sz w:val="22"/>
          <w:szCs w:val="22"/>
        </w:rPr>
      </w:pPr>
      <w:r w:rsidRPr="00014AD5">
        <w:rPr>
          <w:rStyle w:val="Strong"/>
          <w:rFonts w:ascii="Times New Roman" w:hAnsi="Times New Roman"/>
          <w:sz w:val="22"/>
          <w:szCs w:val="22"/>
        </w:rPr>
        <w:t>Additional information</w:t>
      </w:r>
    </w:p>
    <w:p w14:paraId="589B1F78" w14:textId="77777777" w:rsidR="00D450A0" w:rsidRPr="00014AD5" w:rsidRDefault="00D450A0" w:rsidP="00D450A0">
      <w:pPr>
        <w:pStyle w:val="BodyText"/>
        <w:ind w:left="567"/>
        <w:jc w:val="both"/>
        <w:rPr>
          <w:rFonts w:ascii="Times New Roman" w:hAnsi="Times New Roman"/>
          <w:sz w:val="22"/>
          <w:szCs w:val="22"/>
        </w:rPr>
      </w:pPr>
    </w:p>
    <w:p w14:paraId="5459ABA7" w14:textId="77777777" w:rsidR="00446F78" w:rsidRDefault="00446F78"/>
    <w:sectPr w:rsidR="00446F78" w:rsidSect="00213C67">
      <w:pgSz w:w="11906" w:h="16838"/>
      <w:pgMar w:top="1140" w:right="1140" w:bottom="1140" w:left="1412" w:header="72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2ED8F" w14:textId="77777777" w:rsidR="00900539" w:rsidRDefault="00900539" w:rsidP="00D450A0">
      <w:pPr>
        <w:spacing w:before="0" w:after="0"/>
      </w:pPr>
      <w:r>
        <w:separator/>
      </w:r>
    </w:p>
  </w:endnote>
  <w:endnote w:type="continuationSeparator" w:id="0">
    <w:p w14:paraId="39E70ECC" w14:textId="77777777" w:rsidR="00900539" w:rsidRDefault="00900539" w:rsidP="00D450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6C18" w14:textId="77777777" w:rsidR="00900539" w:rsidRDefault="00900539" w:rsidP="00D450A0">
      <w:pPr>
        <w:spacing w:before="0" w:after="0"/>
      </w:pPr>
      <w:r>
        <w:separator/>
      </w:r>
    </w:p>
  </w:footnote>
  <w:footnote w:type="continuationSeparator" w:id="0">
    <w:p w14:paraId="62CE833D" w14:textId="77777777" w:rsidR="00900539" w:rsidRDefault="00900539" w:rsidP="00D450A0">
      <w:pPr>
        <w:spacing w:before="0" w:after="0"/>
      </w:pPr>
      <w:r>
        <w:continuationSeparator/>
      </w:r>
    </w:p>
  </w:footnote>
  <w:footnote w:id="1">
    <w:p w14:paraId="521322C6" w14:textId="77777777" w:rsidR="00D450A0" w:rsidRPr="00B50F3D" w:rsidRDefault="00D450A0" w:rsidP="00D450A0">
      <w:pPr>
        <w:pStyle w:val="FootnoteText"/>
        <w:rPr>
          <w:lang w:val="en-GB"/>
        </w:rPr>
      </w:pPr>
      <w:r>
        <w:rPr>
          <w:rStyle w:val="FootnoteReference"/>
        </w:rPr>
        <w:footnoteRef/>
      </w:r>
      <w:r w:rsidRPr="0004529B">
        <w:rPr>
          <w:lang w:val="en-GB"/>
        </w:rPr>
        <w:t xml:space="preserve"> </w:t>
      </w:r>
      <w:r w:rsidRPr="00B50F3D">
        <w:rPr>
          <w:lang w:val="en-GB"/>
        </w:rPr>
        <w:t>It is recommended to use registered mail in case the postmark would not be readable.</w:t>
      </w:r>
    </w:p>
  </w:footnote>
  <w:footnote w:id="2">
    <w:p w14:paraId="4329DA26" w14:textId="77777777" w:rsidR="00D450A0" w:rsidRPr="000F28BC" w:rsidRDefault="00D450A0" w:rsidP="00D450A0">
      <w:pPr>
        <w:pStyle w:val="FootnoteText"/>
        <w:ind w:left="142" w:hanging="142"/>
        <w:rPr>
          <w:lang w:val="en-GB"/>
        </w:rPr>
      </w:pPr>
      <w:r>
        <w:rPr>
          <w:rStyle w:val="FootnoteReference"/>
        </w:rPr>
        <w:footnoteRef/>
      </w:r>
      <w:r w:rsidRPr="003D4BD5">
        <w:rPr>
          <w:lang w:val="en-GB"/>
        </w:rPr>
        <w:tab/>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multilevel"/>
    <w:tmpl w:val="923235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0476AF"/>
    <w:multiLevelType w:val="hybridMultilevel"/>
    <w:tmpl w:val="E4A4F4C4"/>
    <w:lvl w:ilvl="0" w:tplc="3DAEB37A">
      <w:start w:val="1"/>
      <w:numFmt w:val="lowerLetter"/>
      <w:lvlText w:val="%1)"/>
      <w:lvlJc w:val="left"/>
      <w:pPr>
        <w:ind w:left="2061" w:hanging="360"/>
      </w:pPr>
    </w:lvl>
    <w:lvl w:ilvl="1" w:tplc="C7045C8E" w:tentative="1">
      <w:start w:val="1"/>
      <w:numFmt w:val="lowerLetter"/>
      <w:lvlText w:val="%2."/>
      <w:lvlJc w:val="left"/>
      <w:pPr>
        <w:ind w:left="2781" w:hanging="360"/>
      </w:pPr>
    </w:lvl>
    <w:lvl w:ilvl="2" w:tplc="139CA12A" w:tentative="1">
      <w:start w:val="1"/>
      <w:numFmt w:val="lowerRoman"/>
      <w:lvlText w:val="%3."/>
      <w:lvlJc w:val="right"/>
      <w:pPr>
        <w:ind w:left="3501" w:hanging="180"/>
      </w:pPr>
    </w:lvl>
    <w:lvl w:ilvl="3" w:tplc="37F6261E" w:tentative="1">
      <w:start w:val="1"/>
      <w:numFmt w:val="decimal"/>
      <w:lvlText w:val="%4."/>
      <w:lvlJc w:val="left"/>
      <w:pPr>
        <w:ind w:left="4221" w:hanging="360"/>
      </w:pPr>
    </w:lvl>
    <w:lvl w:ilvl="4" w:tplc="B81CA652" w:tentative="1">
      <w:start w:val="1"/>
      <w:numFmt w:val="lowerLetter"/>
      <w:lvlText w:val="%5."/>
      <w:lvlJc w:val="left"/>
      <w:pPr>
        <w:ind w:left="4941" w:hanging="360"/>
      </w:pPr>
    </w:lvl>
    <w:lvl w:ilvl="5" w:tplc="244611DA" w:tentative="1">
      <w:start w:val="1"/>
      <w:numFmt w:val="lowerRoman"/>
      <w:lvlText w:val="%6."/>
      <w:lvlJc w:val="right"/>
      <w:pPr>
        <w:ind w:left="5661" w:hanging="180"/>
      </w:pPr>
    </w:lvl>
    <w:lvl w:ilvl="6" w:tplc="33906EA6" w:tentative="1">
      <w:start w:val="1"/>
      <w:numFmt w:val="decimal"/>
      <w:lvlText w:val="%7."/>
      <w:lvlJc w:val="left"/>
      <w:pPr>
        <w:ind w:left="6381" w:hanging="360"/>
      </w:pPr>
    </w:lvl>
    <w:lvl w:ilvl="7" w:tplc="3918B838" w:tentative="1">
      <w:start w:val="1"/>
      <w:numFmt w:val="lowerLetter"/>
      <w:lvlText w:val="%8."/>
      <w:lvlJc w:val="left"/>
      <w:pPr>
        <w:ind w:left="7101" w:hanging="360"/>
      </w:pPr>
    </w:lvl>
    <w:lvl w:ilvl="8" w:tplc="C80CF24E" w:tentative="1">
      <w:start w:val="1"/>
      <w:numFmt w:val="lowerRoman"/>
      <w:lvlText w:val="%9."/>
      <w:lvlJc w:val="right"/>
      <w:pPr>
        <w:ind w:left="7821" w:hanging="180"/>
      </w:pPr>
    </w:lvl>
  </w:abstractNum>
  <w:abstractNum w:abstractNumId="3" w15:restartNumberingAfterBreak="0">
    <w:nsid w:val="2D880118"/>
    <w:multiLevelType w:val="hybridMultilevel"/>
    <w:tmpl w:val="D088731A"/>
    <w:lvl w:ilvl="0" w:tplc="4A52A5B6">
      <w:start w:val="1"/>
      <w:numFmt w:val="decimal"/>
      <w:lvlText w:val="%1."/>
      <w:lvlJc w:val="left"/>
      <w:pPr>
        <w:tabs>
          <w:tab w:val="num" w:pos="810"/>
        </w:tabs>
        <w:ind w:left="81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6241F88"/>
    <w:multiLevelType w:val="hybridMultilevel"/>
    <w:tmpl w:val="AB1A9710"/>
    <w:lvl w:ilvl="0" w:tplc="B2BA0306">
      <w:start w:val="1"/>
      <w:numFmt w:val="lowerLetter"/>
      <w:lvlText w:val="%1)"/>
      <w:lvlJc w:val="left"/>
      <w:pPr>
        <w:ind w:left="1080" w:hanging="360"/>
      </w:pPr>
    </w:lvl>
    <w:lvl w:ilvl="1" w:tplc="64E88CF8" w:tentative="1">
      <w:start w:val="1"/>
      <w:numFmt w:val="lowerLetter"/>
      <w:lvlText w:val="%2."/>
      <w:lvlJc w:val="left"/>
      <w:pPr>
        <w:ind w:left="1800" w:hanging="360"/>
      </w:pPr>
    </w:lvl>
    <w:lvl w:ilvl="2" w:tplc="83BE90E8" w:tentative="1">
      <w:start w:val="1"/>
      <w:numFmt w:val="lowerRoman"/>
      <w:lvlText w:val="%3."/>
      <w:lvlJc w:val="right"/>
      <w:pPr>
        <w:ind w:left="2520" w:hanging="180"/>
      </w:pPr>
    </w:lvl>
    <w:lvl w:ilvl="3" w:tplc="76BC67C0" w:tentative="1">
      <w:start w:val="1"/>
      <w:numFmt w:val="decimal"/>
      <w:lvlText w:val="%4."/>
      <w:lvlJc w:val="left"/>
      <w:pPr>
        <w:ind w:left="3240" w:hanging="360"/>
      </w:pPr>
    </w:lvl>
    <w:lvl w:ilvl="4" w:tplc="8D600E08" w:tentative="1">
      <w:start w:val="1"/>
      <w:numFmt w:val="lowerLetter"/>
      <w:lvlText w:val="%5."/>
      <w:lvlJc w:val="left"/>
      <w:pPr>
        <w:ind w:left="3960" w:hanging="360"/>
      </w:pPr>
    </w:lvl>
    <w:lvl w:ilvl="5" w:tplc="9C14232E" w:tentative="1">
      <w:start w:val="1"/>
      <w:numFmt w:val="lowerRoman"/>
      <w:lvlText w:val="%6."/>
      <w:lvlJc w:val="right"/>
      <w:pPr>
        <w:ind w:left="4680" w:hanging="180"/>
      </w:pPr>
    </w:lvl>
    <w:lvl w:ilvl="6" w:tplc="F49EF474" w:tentative="1">
      <w:start w:val="1"/>
      <w:numFmt w:val="decimal"/>
      <w:lvlText w:val="%7."/>
      <w:lvlJc w:val="left"/>
      <w:pPr>
        <w:ind w:left="5400" w:hanging="360"/>
      </w:pPr>
    </w:lvl>
    <w:lvl w:ilvl="7" w:tplc="A4049734" w:tentative="1">
      <w:start w:val="1"/>
      <w:numFmt w:val="lowerLetter"/>
      <w:lvlText w:val="%8."/>
      <w:lvlJc w:val="left"/>
      <w:pPr>
        <w:ind w:left="6120" w:hanging="360"/>
      </w:pPr>
    </w:lvl>
    <w:lvl w:ilvl="8" w:tplc="2CF647F4" w:tentative="1">
      <w:start w:val="1"/>
      <w:numFmt w:val="lowerRoman"/>
      <w:lvlText w:val="%9."/>
      <w:lvlJc w:val="right"/>
      <w:pPr>
        <w:ind w:left="6840" w:hanging="180"/>
      </w:pPr>
    </w:lvl>
  </w:abstractNum>
  <w:abstractNum w:abstractNumId="5" w15:restartNumberingAfterBreak="0">
    <w:nsid w:val="4E5904F9"/>
    <w:multiLevelType w:val="hybridMultilevel"/>
    <w:tmpl w:val="0E205640"/>
    <w:lvl w:ilvl="0" w:tplc="20000017">
      <w:start w:val="1"/>
      <w:numFmt w:val="lowerLetter"/>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65B21E0C"/>
    <w:multiLevelType w:val="hybridMultilevel"/>
    <w:tmpl w:val="B5B8DA24"/>
    <w:lvl w:ilvl="0" w:tplc="3DDA5C96">
      <w:start w:val="1"/>
      <w:numFmt w:val="lowerLetter"/>
      <w:lvlText w:val="%1)"/>
      <w:lvlJc w:val="left"/>
      <w:pPr>
        <w:ind w:left="720" w:hanging="360"/>
      </w:pPr>
    </w:lvl>
    <w:lvl w:ilvl="1" w:tplc="55007B9E" w:tentative="1">
      <w:start w:val="1"/>
      <w:numFmt w:val="lowerLetter"/>
      <w:lvlText w:val="%2."/>
      <w:lvlJc w:val="left"/>
      <w:pPr>
        <w:ind w:left="1440" w:hanging="360"/>
      </w:pPr>
    </w:lvl>
    <w:lvl w:ilvl="2" w:tplc="C58C2FF4" w:tentative="1">
      <w:start w:val="1"/>
      <w:numFmt w:val="lowerRoman"/>
      <w:lvlText w:val="%3."/>
      <w:lvlJc w:val="right"/>
      <w:pPr>
        <w:ind w:left="2160" w:hanging="180"/>
      </w:pPr>
    </w:lvl>
    <w:lvl w:ilvl="3" w:tplc="EBC6A44E" w:tentative="1">
      <w:start w:val="1"/>
      <w:numFmt w:val="decimal"/>
      <w:lvlText w:val="%4."/>
      <w:lvlJc w:val="left"/>
      <w:pPr>
        <w:ind w:left="2880" w:hanging="360"/>
      </w:pPr>
    </w:lvl>
    <w:lvl w:ilvl="4" w:tplc="DCD0B19C" w:tentative="1">
      <w:start w:val="1"/>
      <w:numFmt w:val="lowerLetter"/>
      <w:lvlText w:val="%5."/>
      <w:lvlJc w:val="left"/>
      <w:pPr>
        <w:ind w:left="3600" w:hanging="360"/>
      </w:pPr>
    </w:lvl>
    <w:lvl w:ilvl="5" w:tplc="60EEFB3C" w:tentative="1">
      <w:start w:val="1"/>
      <w:numFmt w:val="lowerRoman"/>
      <w:lvlText w:val="%6."/>
      <w:lvlJc w:val="right"/>
      <w:pPr>
        <w:ind w:left="4320" w:hanging="180"/>
      </w:pPr>
    </w:lvl>
    <w:lvl w:ilvl="6" w:tplc="CA4EA37A" w:tentative="1">
      <w:start w:val="1"/>
      <w:numFmt w:val="decimal"/>
      <w:lvlText w:val="%7."/>
      <w:lvlJc w:val="left"/>
      <w:pPr>
        <w:ind w:left="5040" w:hanging="360"/>
      </w:pPr>
    </w:lvl>
    <w:lvl w:ilvl="7" w:tplc="2BA6E98E" w:tentative="1">
      <w:start w:val="1"/>
      <w:numFmt w:val="lowerLetter"/>
      <w:lvlText w:val="%8."/>
      <w:lvlJc w:val="left"/>
      <w:pPr>
        <w:ind w:left="5760" w:hanging="360"/>
      </w:pPr>
    </w:lvl>
    <w:lvl w:ilvl="8" w:tplc="88883D1E" w:tentative="1">
      <w:start w:val="1"/>
      <w:numFmt w:val="lowerRoman"/>
      <w:lvlText w:val="%9."/>
      <w:lvlJc w:val="right"/>
      <w:pPr>
        <w:ind w:left="6480" w:hanging="180"/>
      </w:pPr>
    </w:lvl>
  </w:abstractNum>
  <w:num w:numId="1">
    <w:abstractNumId w:val="1"/>
  </w:num>
  <w:num w:numId="2">
    <w:abstractNumId w:val="3"/>
  </w:num>
  <w:num w:numId="3">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A0"/>
    <w:rsid w:val="000D1796"/>
    <w:rsid w:val="00215EAD"/>
    <w:rsid w:val="00446F78"/>
    <w:rsid w:val="004A16F8"/>
    <w:rsid w:val="007F6F4E"/>
    <w:rsid w:val="00812B15"/>
    <w:rsid w:val="00851185"/>
    <w:rsid w:val="00863779"/>
    <w:rsid w:val="00900539"/>
    <w:rsid w:val="00CE5399"/>
    <w:rsid w:val="00D22FC5"/>
    <w:rsid w:val="00D450A0"/>
    <w:rsid w:val="00ED575F"/>
    <w:rsid w:val="00F2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28F9"/>
  <w15:chartTrackingRefBased/>
  <w15:docId w15:val="{A1E545A7-2ABE-474C-AF00-11580A91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A0"/>
    <w:pPr>
      <w:spacing w:before="120" w:after="120" w:line="240" w:lineRule="auto"/>
    </w:pPr>
    <w:rPr>
      <w:rFonts w:ascii="Arial" w:eastAsia="Times New Roman" w:hAnsi="Arial" w:cs="Times New Roman"/>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0A0"/>
  </w:style>
  <w:style w:type="character" w:customStyle="1" w:styleId="BodyTextChar">
    <w:name w:val="Body Text Char"/>
    <w:basedOn w:val="DefaultParagraphFont"/>
    <w:link w:val="BodyText"/>
    <w:rsid w:val="00D450A0"/>
    <w:rPr>
      <w:rFonts w:ascii="Arial" w:eastAsia="Times New Roman" w:hAnsi="Arial" w:cs="Times New Roman"/>
      <w:snapToGrid w:val="0"/>
      <w:sz w:val="20"/>
      <w:szCs w:val="20"/>
      <w:lang w:val="en-GB"/>
    </w:rPr>
  </w:style>
  <w:style w:type="character" w:styleId="Hyperlink">
    <w:name w:val="Hyperlink"/>
    <w:rsid w:val="00D450A0"/>
    <w:rPr>
      <w:color w:val="0000FF"/>
      <w:u w:val="single"/>
    </w:rPr>
  </w:style>
  <w:style w:type="paragraph" w:styleId="FootnoteText">
    <w:name w:val="footnote text"/>
    <w:basedOn w:val="Normal"/>
    <w:link w:val="FootnoteTextChar"/>
    <w:autoRedefine/>
    <w:rsid w:val="00D450A0"/>
    <w:pPr>
      <w:spacing w:before="0"/>
    </w:pPr>
    <w:rPr>
      <w:rFonts w:ascii="Times New Roman" w:hAnsi="Times New Roman"/>
      <w:lang w:val="fr-FR"/>
    </w:rPr>
  </w:style>
  <w:style w:type="character" w:customStyle="1" w:styleId="FootnoteTextChar">
    <w:name w:val="Footnote Text Char"/>
    <w:basedOn w:val="DefaultParagraphFont"/>
    <w:link w:val="FootnoteText"/>
    <w:rsid w:val="00D450A0"/>
    <w:rPr>
      <w:rFonts w:ascii="Times New Roman" w:eastAsia="Times New Roman" w:hAnsi="Times New Roman" w:cs="Times New Roman"/>
      <w:snapToGrid w:val="0"/>
      <w:sz w:val="20"/>
      <w:szCs w:val="20"/>
      <w:lang w:val="fr-FR"/>
    </w:rPr>
  </w:style>
  <w:style w:type="character" w:styleId="FootnoteReference">
    <w:name w:val="footnote reference"/>
    <w:rsid w:val="00D450A0"/>
    <w:rPr>
      <w:vertAlign w:val="superscript"/>
    </w:rPr>
  </w:style>
  <w:style w:type="character" w:styleId="Strong">
    <w:name w:val="Strong"/>
    <w:qFormat/>
    <w:rsid w:val="00D450A0"/>
    <w:rPr>
      <w:b/>
    </w:rPr>
  </w:style>
  <w:style w:type="paragraph" w:customStyle="1" w:styleId="Blockquote">
    <w:name w:val="Blockquote"/>
    <w:basedOn w:val="Normal"/>
    <w:rsid w:val="00D450A0"/>
    <w:pPr>
      <w:widowControl w:val="0"/>
      <w:spacing w:before="100" w:after="100"/>
      <w:ind w:left="360" w:right="360"/>
    </w:pPr>
    <w:rPr>
      <w:sz w:val="24"/>
      <w:lang w:val="en-US"/>
    </w:rPr>
  </w:style>
  <w:style w:type="paragraph" w:styleId="ListParagraph">
    <w:name w:val="List Paragraph"/>
    <w:basedOn w:val="Normal"/>
    <w:uiPriority w:val="34"/>
    <w:qFormat/>
    <w:rsid w:val="00D450A0"/>
    <w:pPr>
      <w:spacing w:before="0" w:after="0"/>
      <w:ind w:left="720"/>
    </w:pPr>
    <w:rPr>
      <w:rFonts w:ascii="Calibri" w:eastAsia="Calibri" w:hAnsi="Calibri"/>
      <w:snapToGrid/>
      <w:sz w:val="22"/>
      <w:szCs w:val="22"/>
    </w:rPr>
  </w:style>
  <w:style w:type="paragraph" w:customStyle="1" w:styleId="PRAGHeading2">
    <w:name w:val="PRAG Heading 2"/>
    <w:basedOn w:val="Normal"/>
    <w:rsid w:val="00D450A0"/>
    <w:pPr>
      <w:widowControl w:val="0"/>
      <w:numPr>
        <w:numId w:val="1"/>
      </w:numPr>
      <w:spacing w:before="100" w:after="100"/>
    </w:pPr>
    <w:rPr>
      <w:rFonts w:ascii="Times New Roman" w:hAnsi="Times New Roman"/>
      <w:sz w:val="24"/>
      <w:lang w:val="fr-FR"/>
    </w:rPr>
  </w:style>
  <w:style w:type="character" w:styleId="Emphasis">
    <w:name w:val="Emphasis"/>
    <w:qFormat/>
    <w:rsid w:val="00D450A0"/>
    <w:rPr>
      <w:i/>
    </w:rPr>
  </w:style>
  <w:style w:type="character" w:styleId="CommentReference">
    <w:name w:val="annotation reference"/>
    <w:basedOn w:val="DefaultParagraphFont"/>
    <w:uiPriority w:val="99"/>
    <w:semiHidden/>
    <w:unhideWhenUsed/>
    <w:rsid w:val="00863779"/>
    <w:rPr>
      <w:sz w:val="16"/>
      <w:szCs w:val="16"/>
    </w:rPr>
  </w:style>
  <w:style w:type="paragraph" w:styleId="CommentText">
    <w:name w:val="annotation text"/>
    <w:basedOn w:val="Normal"/>
    <w:link w:val="CommentTextChar"/>
    <w:uiPriority w:val="99"/>
    <w:semiHidden/>
    <w:unhideWhenUsed/>
    <w:rsid w:val="00863779"/>
  </w:style>
  <w:style w:type="character" w:customStyle="1" w:styleId="CommentTextChar">
    <w:name w:val="Comment Text Char"/>
    <w:basedOn w:val="DefaultParagraphFont"/>
    <w:link w:val="CommentText"/>
    <w:uiPriority w:val="99"/>
    <w:semiHidden/>
    <w:rsid w:val="00863779"/>
    <w:rPr>
      <w:rFonts w:ascii="Arial" w:eastAsia="Times New Roman" w:hAnsi="Arial"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863779"/>
    <w:rPr>
      <w:b/>
      <w:bCs/>
    </w:rPr>
  </w:style>
  <w:style w:type="character" w:customStyle="1" w:styleId="CommentSubjectChar">
    <w:name w:val="Comment Subject Char"/>
    <w:basedOn w:val="CommentTextChar"/>
    <w:link w:val="CommentSubject"/>
    <w:uiPriority w:val="99"/>
    <w:semiHidden/>
    <w:rsid w:val="00863779"/>
    <w:rPr>
      <w:rFonts w:ascii="Arial" w:eastAsia="Times New Roman" w:hAnsi="Arial" w:cs="Times New Roman"/>
      <w:b/>
      <w:bCs/>
      <w:snapToGrid w:val="0"/>
      <w:sz w:val="20"/>
      <w:szCs w:val="20"/>
      <w:lang w:val="en-GB"/>
    </w:rPr>
  </w:style>
  <w:style w:type="paragraph" w:styleId="BalloonText">
    <w:name w:val="Balloon Text"/>
    <w:basedOn w:val="Normal"/>
    <w:link w:val="BalloonTextChar"/>
    <w:uiPriority w:val="99"/>
    <w:semiHidden/>
    <w:unhideWhenUsed/>
    <w:rsid w:val="0086377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779"/>
    <w:rPr>
      <w:rFonts w:ascii="Segoe UI" w:eastAsia="Times New Roman" w:hAnsi="Segoe UI" w:cs="Segoe UI"/>
      <w:snapToGrid w:val="0"/>
      <w:sz w:val="18"/>
      <w:szCs w:val="18"/>
      <w:lang w:val="en-GB"/>
    </w:rPr>
  </w:style>
  <w:style w:type="character" w:styleId="UnresolvedMention">
    <w:name w:val="Unresolved Mention"/>
    <w:basedOn w:val="DefaultParagraphFont"/>
    <w:uiPriority w:val="99"/>
    <w:semiHidden/>
    <w:unhideWhenUsed/>
    <w:rsid w:val="007F6F4E"/>
    <w:rPr>
      <w:color w:val="605E5C"/>
      <w:shd w:val="clear" w:color="auto" w:fill="E1DFDD"/>
    </w:rPr>
  </w:style>
  <w:style w:type="paragraph" w:styleId="Header">
    <w:name w:val="header"/>
    <w:basedOn w:val="Normal"/>
    <w:link w:val="HeaderChar"/>
    <w:rsid w:val="00D22FC5"/>
    <w:pPr>
      <w:tabs>
        <w:tab w:val="center" w:pos="4320"/>
        <w:tab w:val="right" w:pos="8640"/>
      </w:tabs>
      <w:ind w:left="567"/>
      <w:jc w:val="both"/>
    </w:pPr>
    <w:rPr>
      <w:rFonts w:ascii="Times New Roman" w:hAnsi="Times New Roman"/>
      <w:sz w:val="22"/>
    </w:rPr>
  </w:style>
  <w:style w:type="character" w:customStyle="1" w:styleId="HeaderChar">
    <w:name w:val="Header Char"/>
    <w:basedOn w:val="DefaultParagraphFont"/>
    <w:link w:val="Header"/>
    <w:rsid w:val="00D22FC5"/>
    <w:rPr>
      <w:rFonts w:ascii="Times New Roman" w:eastAsia="Times New Roman" w:hAnsi="Times New Roman" w:cs="Times New Roman"/>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griculture.co.ug" TargetMode="External"/><Relationship Id="rId3" Type="http://schemas.openxmlformats.org/officeDocument/2006/relationships/settings" Target="settings.xml"/><Relationship Id="rId7" Type="http://schemas.openxmlformats.org/officeDocument/2006/relationships/hyperlink" Target="https://webgate.ec.europa.eu/europeaid/online-services/index.cfm?do=publi.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abbazimaryconcep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(Work)</dc:creator>
  <cp:keywords/>
  <dc:description/>
  <cp:lastModifiedBy>Alastair (Work)</cp:lastModifiedBy>
  <cp:revision>5</cp:revision>
  <dcterms:created xsi:type="dcterms:W3CDTF">2019-08-08T11:57:00Z</dcterms:created>
  <dcterms:modified xsi:type="dcterms:W3CDTF">2019-08-09T09:02:00Z</dcterms:modified>
</cp:coreProperties>
</file>